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BF04" w14:textId="4ADCD844" w:rsidR="00626F4B" w:rsidRDefault="00626F4B" w:rsidP="00626F4B">
      <w:pPr>
        <w:jc w:val="center"/>
        <w:rPr>
          <w:rFonts w:ascii="Verdana" w:hAnsi="Verdana"/>
          <w:b/>
        </w:rPr>
      </w:pPr>
      <w:r>
        <w:rPr>
          <w:rFonts w:ascii="Verdana" w:hAnsi="Verdana"/>
          <w:b/>
        </w:rPr>
        <w:t>CORPORATION OF SIR GEORGE MONOUX COLLEGE</w:t>
      </w:r>
    </w:p>
    <w:p w14:paraId="27E5AECF" w14:textId="77777777" w:rsidR="00626F4B" w:rsidRDefault="00626F4B" w:rsidP="00626F4B">
      <w:pPr>
        <w:jc w:val="center"/>
        <w:rPr>
          <w:rFonts w:ascii="Verdana" w:hAnsi="Verdana"/>
          <w:b/>
        </w:rPr>
      </w:pPr>
    </w:p>
    <w:p w14:paraId="6480BE0D" w14:textId="77777777" w:rsidR="00AA7B4E" w:rsidRDefault="00626F4B" w:rsidP="00626F4B">
      <w:pPr>
        <w:jc w:val="center"/>
        <w:rPr>
          <w:rFonts w:ascii="Verdana" w:hAnsi="Verdana"/>
          <w:b/>
        </w:rPr>
      </w:pPr>
      <w:r>
        <w:rPr>
          <w:rFonts w:ascii="Verdana" w:hAnsi="Verdana"/>
          <w:b/>
        </w:rPr>
        <w:t xml:space="preserve">Minutes of the Meeting of the </w:t>
      </w:r>
      <w:r w:rsidR="00AA7B4E">
        <w:rPr>
          <w:rFonts w:ascii="Verdana" w:hAnsi="Verdana"/>
          <w:b/>
        </w:rPr>
        <w:t>External Relations</w:t>
      </w:r>
      <w:r>
        <w:rPr>
          <w:rFonts w:ascii="Verdana" w:hAnsi="Verdana"/>
          <w:b/>
        </w:rPr>
        <w:t xml:space="preserve"> Committee held on </w:t>
      </w:r>
    </w:p>
    <w:p w14:paraId="2E803062" w14:textId="2F9A6CE1" w:rsidR="00626F4B" w:rsidRDefault="00F454D9" w:rsidP="00626F4B">
      <w:pPr>
        <w:jc w:val="center"/>
        <w:rPr>
          <w:rFonts w:ascii="Verdana" w:hAnsi="Verdana"/>
          <w:b/>
        </w:rPr>
      </w:pPr>
      <w:r>
        <w:rPr>
          <w:rFonts w:ascii="Verdana" w:hAnsi="Verdana"/>
          <w:b/>
        </w:rPr>
        <w:t>3 March 2020</w:t>
      </w:r>
    </w:p>
    <w:p w14:paraId="524FC9FB" w14:textId="77777777" w:rsidR="00F454D9" w:rsidRDefault="00F454D9" w:rsidP="00626F4B">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2376"/>
        <w:gridCol w:w="7088"/>
      </w:tblGrid>
      <w:tr w:rsidR="00626F4B" w14:paraId="3029CBF4" w14:textId="77777777" w:rsidTr="005104D0">
        <w:tc>
          <w:tcPr>
            <w:tcW w:w="2376" w:type="dxa"/>
            <w:shd w:val="clear" w:color="auto" w:fill="auto"/>
            <w:tcMar>
              <w:top w:w="0" w:type="dxa"/>
              <w:left w:w="108" w:type="dxa"/>
              <w:bottom w:w="0" w:type="dxa"/>
              <w:right w:w="108" w:type="dxa"/>
            </w:tcMar>
          </w:tcPr>
          <w:p w14:paraId="06CCE836" w14:textId="77777777" w:rsidR="00626F4B" w:rsidRDefault="00626F4B" w:rsidP="005363B3">
            <w:pPr>
              <w:tabs>
                <w:tab w:val="left" w:pos="1455"/>
              </w:tabs>
              <w:rPr>
                <w:rFonts w:ascii="Verdana" w:hAnsi="Verdana"/>
                <w:b/>
              </w:rPr>
            </w:pPr>
            <w:r>
              <w:rPr>
                <w:rFonts w:ascii="Verdana" w:hAnsi="Verdana"/>
                <w:b/>
              </w:rPr>
              <w:t>Present</w:t>
            </w:r>
            <w:r>
              <w:rPr>
                <w:rFonts w:ascii="Verdana" w:hAnsi="Verdana"/>
                <w:b/>
              </w:rPr>
              <w:tab/>
            </w:r>
          </w:p>
          <w:p w14:paraId="7DF51377" w14:textId="77777777" w:rsidR="00626F4B" w:rsidRDefault="00626F4B" w:rsidP="005363B3">
            <w:pPr>
              <w:rPr>
                <w:rFonts w:ascii="Verdana" w:hAnsi="Verdana"/>
                <w:b/>
              </w:rPr>
            </w:pPr>
          </w:p>
        </w:tc>
        <w:tc>
          <w:tcPr>
            <w:tcW w:w="7088" w:type="dxa"/>
            <w:shd w:val="clear" w:color="auto" w:fill="auto"/>
            <w:tcMar>
              <w:top w:w="0" w:type="dxa"/>
              <w:left w:w="108" w:type="dxa"/>
              <w:bottom w:w="0" w:type="dxa"/>
              <w:right w:w="108" w:type="dxa"/>
            </w:tcMar>
          </w:tcPr>
          <w:p w14:paraId="3DF8B0BF" w14:textId="52424330" w:rsidR="00626F4B" w:rsidRPr="00543365" w:rsidRDefault="00532D61" w:rsidP="005363B3">
            <w:pPr>
              <w:rPr>
                <w:rFonts w:ascii="Verdana" w:hAnsi="Verdana"/>
              </w:rPr>
            </w:pPr>
            <w:r w:rsidRPr="00543365">
              <w:rPr>
                <w:rFonts w:ascii="Verdana" w:hAnsi="Verdana"/>
              </w:rPr>
              <w:t>Stewart Maclean</w:t>
            </w:r>
            <w:r w:rsidR="00626F4B" w:rsidRPr="00543365">
              <w:rPr>
                <w:rFonts w:ascii="Verdana" w:hAnsi="Verdana"/>
              </w:rPr>
              <w:t xml:space="preserve"> (Chair), </w:t>
            </w:r>
            <w:r w:rsidR="00416D54" w:rsidRPr="00543365">
              <w:rPr>
                <w:rFonts w:ascii="Verdana" w:hAnsi="Verdana"/>
              </w:rPr>
              <w:t xml:space="preserve">Talia Chirouf, </w:t>
            </w:r>
            <w:r w:rsidR="008345F2" w:rsidRPr="00543365">
              <w:rPr>
                <w:rFonts w:ascii="Verdana" w:hAnsi="Verdana"/>
              </w:rPr>
              <w:t xml:space="preserve">Tom Foakes, </w:t>
            </w:r>
            <w:r w:rsidR="002E7806">
              <w:rPr>
                <w:rFonts w:ascii="Verdana" w:hAnsi="Verdana"/>
              </w:rPr>
              <w:t xml:space="preserve">Farhana Juhera, </w:t>
            </w:r>
            <w:r w:rsidR="00E0491F" w:rsidRPr="00543365">
              <w:rPr>
                <w:rFonts w:ascii="Verdana" w:hAnsi="Verdana"/>
              </w:rPr>
              <w:t>Maurine Lewin, Dav</w:t>
            </w:r>
            <w:r w:rsidR="00AB1F20" w:rsidRPr="00543365">
              <w:rPr>
                <w:rFonts w:ascii="Verdana" w:hAnsi="Verdana"/>
              </w:rPr>
              <w:t>id Vasse</w:t>
            </w:r>
            <w:r w:rsidR="00626F4B" w:rsidRPr="00543365">
              <w:rPr>
                <w:rFonts w:ascii="Verdana" w:hAnsi="Verdana"/>
              </w:rPr>
              <w:t xml:space="preserve">. </w:t>
            </w:r>
          </w:p>
          <w:p w14:paraId="08A15440" w14:textId="77777777" w:rsidR="00626F4B" w:rsidRDefault="00626F4B" w:rsidP="005363B3">
            <w:pPr>
              <w:rPr>
                <w:rFonts w:ascii="Verdana" w:hAnsi="Verdana"/>
              </w:rPr>
            </w:pPr>
          </w:p>
        </w:tc>
      </w:tr>
      <w:tr w:rsidR="00626F4B" w14:paraId="11C5FDBC" w14:textId="77777777" w:rsidTr="005104D0">
        <w:tc>
          <w:tcPr>
            <w:tcW w:w="2376" w:type="dxa"/>
            <w:shd w:val="clear" w:color="auto" w:fill="auto"/>
            <w:tcMar>
              <w:top w:w="0" w:type="dxa"/>
              <w:left w:w="108" w:type="dxa"/>
              <w:bottom w:w="0" w:type="dxa"/>
              <w:right w:w="108" w:type="dxa"/>
            </w:tcMar>
          </w:tcPr>
          <w:p w14:paraId="4E822C07" w14:textId="2D55B9DB" w:rsidR="00626F4B" w:rsidRDefault="00413682" w:rsidP="005363B3">
            <w:pPr>
              <w:rPr>
                <w:rFonts w:ascii="Verdana" w:hAnsi="Verdana"/>
                <w:b/>
              </w:rPr>
            </w:pPr>
            <w:r>
              <w:rPr>
                <w:rFonts w:ascii="Verdana" w:hAnsi="Verdana"/>
                <w:b/>
              </w:rPr>
              <w:t>In Attendance</w:t>
            </w:r>
          </w:p>
        </w:tc>
        <w:tc>
          <w:tcPr>
            <w:tcW w:w="7088" w:type="dxa"/>
            <w:shd w:val="clear" w:color="auto" w:fill="auto"/>
            <w:tcMar>
              <w:top w:w="0" w:type="dxa"/>
              <w:left w:w="108" w:type="dxa"/>
              <w:bottom w:w="0" w:type="dxa"/>
              <w:right w:w="108" w:type="dxa"/>
            </w:tcMar>
          </w:tcPr>
          <w:p w14:paraId="72DFE0F5" w14:textId="663D9A86" w:rsidR="00626F4B" w:rsidRDefault="008C2D18" w:rsidP="005363B3">
            <w:pPr>
              <w:rPr>
                <w:rFonts w:ascii="Verdana" w:hAnsi="Verdana"/>
              </w:rPr>
            </w:pPr>
            <w:r>
              <w:rPr>
                <w:rFonts w:ascii="Verdana" w:hAnsi="Verdana"/>
              </w:rPr>
              <w:t>James Gould (Vice</w:t>
            </w:r>
            <w:r w:rsidR="00651D04">
              <w:rPr>
                <w:rFonts w:ascii="Verdana" w:hAnsi="Verdana"/>
              </w:rPr>
              <w:t>-</w:t>
            </w:r>
            <w:r>
              <w:rPr>
                <w:rFonts w:ascii="Verdana" w:hAnsi="Verdana"/>
              </w:rPr>
              <w:t xml:space="preserve">Principal: </w:t>
            </w:r>
            <w:r w:rsidRPr="00FE7EDC">
              <w:rPr>
                <w:rFonts w:ascii="Verdana" w:hAnsi="Verdana"/>
              </w:rPr>
              <w:t>Student S</w:t>
            </w:r>
            <w:r>
              <w:rPr>
                <w:rFonts w:ascii="Verdana" w:hAnsi="Verdana"/>
              </w:rPr>
              <w:t>ervices and Recruitment</w:t>
            </w:r>
            <w:r w:rsidR="00626F4B">
              <w:rPr>
                <w:rFonts w:ascii="Verdana" w:hAnsi="Verdana"/>
              </w:rPr>
              <w:t>).</w:t>
            </w:r>
          </w:p>
        </w:tc>
      </w:tr>
    </w:tbl>
    <w:p w14:paraId="73A3C9F8" w14:textId="77777777" w:rsidR="00626F4B" w:rsidRDefault="00626F4B" w:rsidP="00626F4B">
      <w:pPr>
        <w:rPr>
          <w:rFonts w:ascii="Verdana" w:hAnsi="Verdana"/>
          <w:b/>
        </w:rPr>
      </w:pPr>
    </w:p>
    <w:tbl>
      <w:tblPr>
        <w:tblW w:w="9464" w:type="dxa"/>
        <w:tblCellMar>
          <w:left w:w="10" w:type="dxa"/>
          <w:right w:w="10" w:type="dxa"/>
        </w:tblCellMar>
        <w:tblLook w:val="0000" w:firstRow="0" w:lastRow="0" w:firstColumn="0" w:lastColumn="0" w:noHBand="0" w:noVBand="0"/>
      </w:tblPr>
      <w:tblGrid>
        <w:gridCol w:w="529"/>
        <w:gridCol w:w="8935"/>
      </w:tblGrid>
      <w:tr w:rsidR="00626F4B" w14:paraId="64A738ED" w14:textId="77777777" w:rsidTr="00793870">
        <w:tc>
          <w:tcPr>
            <w:tcW w:w="529" w:type="dxa"/>
            <w:shd w:val="clear" w:color="auto" w:fill="auto"/>
            <w:tcMar>
              <w:top w:w="0" w:type="dxa"/>
              <w:left w:w="108" w:type="dxa"/>
              <w:bottom w:w="0" w:type="dxa"/>
              <w:right w:w="108" w:type="dxa"/>
            </w:tcMar>
          </w:tcPr>
          <w:p w14:paraId="6D882388" w14:textId="77777777" w:rsidR="00626F4B" w:rsidRDefault="00626F4B" w:rsidP="005363B3">
            <w:pPr>
              <w:pStyle w:val="NoSpacing"/>
              <w:rPr>
                <w:b/>
              </w:rPr>
            </w:pPr>
            <w:r>
              <w:rPr>
                <w:b/>
              </w:rPr>
              <w:t>1</w:t>
            </w:r>
          </w:p>
          <w:p w14:paraId="1AC7FCBD" w14:textId="77777777" w:rsidR="00626F4B" w:rsidRDefault="00626F4B" w:rsidP="005363B3">
            <w:pPr>
              <w:pStyle w:val="NoSpacing"/>
              <w:rPr>
                <w:b/>
              </w:rPr>
            </w:pPr>
          </w:p>
          <w:p w14:paraId="05379A88" w14:textId="77777777" w:rsidR="00626F4B" w:rsidRDefault="00626F4B" w:rsidP="005363B3">
            <w:pPr>
              <w:pStyle w:val="NoSpacing"/>
              <w:rPr>
                <w:b/>
              </w:rPr>
            </w:pPr>
          </w:p>
        </w:tc>
        <w:tc>
          <w:tcPr>
            <w:tcW w:w="8935" w:type="dxa"/>
            <w:shd w:val="clear" w:color="auto" w:fill="auto"/>
            <w:tcMar>
              <w:top w:w="0" w:type="dxa"/>
              <w:left w:w="108" w:type="dxa"/>
              <w:bottom w:w="0" w:type="dxa"/>
              <w:right w:w="108" w:type="dxa"/>
            </w:tcMar>
          </w:tcPr>
          <w:p w14:paraId="41300BE7" w14:textId="1B559461" w:rsidR="00626F4B" w:rsidRDefault="00626F4B" w:rsidP="005363B3">
            <w:pPr>
              <w:pStyle w:val="NoSpacing"/>
              <w:rPr>
                <w:b/>
              </w:rPr>
            </w:pPr>
            <w:r>
              <w:rPr>
                <w:b/>
              </w:rPr>
              <w:t>Apologies for Absence</w:t>
            </w:r>
            <w:r w:rsidR="005D35E5">
              <w:rPr>
                <w:b/>
              </w:rPr>
              <w:t xml:space="preserve"> </w:t>
            </w:r>
            <w:r w:rsidR="00E261ED">
              <w:rPr>
                <w:b/>
              </w:rPr>
              <w:t>&amp; Quoracy</w:t>
            </w:r>
          </w:p>
          <w:p w14:paraId="6B45751B" w14:textId="77777777" w:rsidR="00626F4B" w:rsidRDefault="00626F4B" w:rsidP="005363B3">
            <w:pPr>
              <w:pStyle w:val="NoSpacing"/>
            </w:pPr>
          </w:p>
          <w:p w14:paraId="77DA966F" w14:textId="2F933495" w:rsidR="00ED217D" w:rsidRDefault="001B0590" w:rsidP="005363B3">
            <w:pPr>
              <w:pStyle w:val="NoSpacing"/>
            </w:pPr>
            <w:r>
              <w:t>All members were present.</w:t>
            </w:r>
          </w:p>
          <w:p w14:paraId="3D550F1F" w14:textId="0331EDAF" w:rsidR="00777E84" w:rsidRDefault="00777E84" w:rsidP="005363B3">
            <w:pPr>
              <w:pStyle w:val="NoSpacing"/>
            </w:pPr>
          </w:p>
          <w:p w14:paraId="2D7808C0" w14:textId="29DF441E" w:rsidR="00777E84" w:rsidRDefault="00777E84" w:rsidP="005363B3">
            <w:pPr>
              <w:pStyle w:val="NoSpacing"/>
            </w:pPr>
            <w:r>
              <w:t>Robert Smith, Clerk to the Corporation, was unable to be in attendance.  Minutes of the meeting, within a framework provided by the Clerk, were taken by the Chair of the Committee.</w:t>
            </w:r>
          </w:p>
          <w:p w14:paraId="42BCEB9A" w14:textId="77777777" w:rsidR="00626F4B" w:rsidRDefault="00626F4B" w:rsidP="001B0590">
            <w:pPr>
              <w:pStyle w:val="NoSpacing"/>
            </w:pPr>
          </w:p>
        </w:tc>
      </w:tr>
      <w:tr w:rsidR="00626F4B" w14:paraId="04C558D7" w14:textId="77777777" w:rsidTr="00793870">
        <w:tc>
          <w:tcPr>
            <w:tcW w:w="529" w:type="dxa"/>
            <w:shd w:val="clear" w:color="auto" w:fill="auto"/>
            <w:tcMar>
              <w:top w:w="0" w:type="dxa"/>
              <w:left w:w="108" w:type="dxa"/>
              <w:bottom w:w="0" w:type="dxa"/>
              <w:right w:w="108" w:type="dxa"/>
            </w:tcMar>
          </w:tcPr>
          <w:p w14:paraId="7E3FCEF6" w14:textId="77777777" w:rsidR="00626F4B" w:rsidRDefault="00626F4B" w:rsidP="005363B3">
            <w:pPr>
              <w:pStyle w:val="NoSpacing"/>
              <w:rPr>
                <w:b/>
              </w:rPr>
            </w:pPr>
            <w:r>
              <w:rPr>
                <w:b/>
              </w:rPr>
              <w:t>2</w:t>
            </w:r>
          </w:p>
        </w:tc>
        <w:tc>
          <w:tcPr>
            <w:tcW w:w="8935" w:type="dxa"/>
            <w:shd w:val="clear" w:color="auto" w:fill="auto"/>
            <w:tcMar>
              <w:top w:w="0" w:type="dxa"/>
              <w:left w:w="108" w:type="dxa"/>
              <w:bottom w:w="0" w:type="dxa"/>
              <w:right w:w="108" w:type="dxa"/>
            </w:tcMar>
          </w:tcPr>
          <w:p w14:paraId="70F39EA9" w14:textId="77777777" w:rsidR="00626F4B" w:rsidRDefault="00626F4B" w:rsidP="005363B3">
            <w:pPr>
              <w:pStyle w:val="NoSpacing"/>
              <w:rPr>
                <w:b/>
              </w:rPr>
            </w:pPr>
            <w:r>
              <w:rPr>
                <w:b/>
              </w:rPr>
              <w:t>Declarations of Interest</w:t>
            </w:r>
          </w:p>
          <w:p w14:paraId="4D1ABDCB" w14:textId="77777777" w:rsidR="00626F4B" w:rsidRDefault="00626F4B" w:rsidP="005363B3">
            <w:pPr>
              <w:pStyle w:val="NoSpacing"/>
            </w:pPr>
          </w:p>
          <w:p w14:paraId="15EFED17" w14:textId="77777777" w:rsidR="00626F4B" w:rsidRDefault="00626F4B" w:rsidP="005363B3">
            <w:pPr>
              <w:pStyle w:val="NoSpacing"/>
            </w:pPr>
            <w:r>
              <w:t>None.</w:t>
            </w:r>
          </w:p>
          <w:p w14:paraId="306744C0" w14:textId="77777777" w:rsidR="00626F4B" w:rsidRDefault="00626F4B" w:rsidP="005363B3">
            <w:pPr>
              <w:pStyle w:val="NoSpacing"/>
            </w:pPr>
          </w:p>
        </w:tc>
      </w:tr>
      <w:tr w:rsidR="00504FAF" w14:paraId="4300FB80" w14:textId="77777777" w:rsidTr="00793870">
        <w:tc>
          <w:tcPr>
            <w:tcW w:w="529" w:type="dxa"/>
            <w:shd w:val="clear" w:color="auto" w:fill="auto"/>
            <w:tcMar>
              <w:top w:w="0" w:type="dxa"/>
              <w:left w:w="108" w:type="dxa"/>
              <w:bottom w:w="0" w:type="dxa"/>
              <w:right w:w="108" w:type="dxa"/>
            </w:tcMar>
          </w:tcPr>
          <w:p w14:paraId="16021741" w14:textId="52B0F006" w:rsidR="00504FAF" w:rsidRDefault="00504FAF" w:rsidP="005363B3">
            <w:pPr>
              <w:pStyle w:val="NoSpacing"/>
              <w:rPr>
                <w:b/>
              </w:rPr>
            </w:pPr>
            <w:r>
              <w:rPr>
                <w:b/>
              </w:rPr>
              <w:t>3</w:t>
            </w:r>
          </w:p>
        </w:tc>
        <w:tc>
          <w:tcPr>
            <w:tcW w:w="8935" w:type="dxa"/>
            <w:shd w:val="clear" w:color="auto" w:fill="auto"/>
            <w:tcMar>
              <w:top w:w="0" w:type="dxa"/>
              <w:left w:w="108" w:type="dxa"/>
              <w:bottom w:w="0" w:type="dxa"/>
              <w:right w:w="108" w:type="dxa"/>
            </w:tcMar>
          </w:tcPr>
          <w:p w14:paraId="0CA5E71B" w14:textId="432DACBD" w:rsidR="00FE6148" w:rsidRPr="00FE6148" w:rsidRDefault="007F3FF7" w:rsidP="00FE6148">
            <w:pPr>
              <w:rPr>
                <w:rFonts w:ascii="Verdana" w:hAnsi="Verdana"/>
                <w:b/>
              </w:rPr>
            </w:pPr>
            <w:r w:rsidRPr="00FE6148">
              <w:rPr>
                <w:rFonts w:ascii="Verdana" w:hAnsi="Verdana"/>
                <w:b/>
              </w:rPr>
              <w:t xml:space="preserve">Draft Minutes of the Previous Meeting (Ordinary Business): </w:t>
            </w:r>
            <w:r w:rsidR="00F454D9">
              <w:rPr>
                <w:rFonts w:ascii="Verdana" w:hAnsi="Verdana"/>
                <w:b/>
              </w:rPr>
              <w:t>11 November</w:t>
            </w:r>
            <w:r w:rsidR="002D3AF5">
              <w:rPr>
                <w:rFonts w:ascii="Verdana" w:hAnsi="Verdana"/>
                <w:b/>
              </w:rPr>
              <w:t xml:space="preserve"> 2019</w:t>
            </w:r>
          </w:p>
          <w:p w14:paraId="491B33EE" w14:textId="4DF6B5B6" w:rsidR="00504FAF" w:rsidRDefault="00504FAF" w:rsidP="005363B3">
            <w:pPr>
              <w:pStyle w:val="NoSpacing"/>
              <w:rPr>
                <w:b/>
              </w:rPr>
            </w:pPr>
          </w:p>
          <w:p w14:paraId="7FD7BD9F" w14:textId="77777777" w:rsidR="00816A70" w:rsidRPr="00CA1B35" w:rsidRDefault="00816A70" w:rsidP="00816A70">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12926E48" w14:textId="77777777" w:rsidR="00816A70" w:rsidRDefault="00816A70" w:rsidP="00816A70">
            <w:pPr>
              <w:pStyle w:val="NoSpacing"/>
            </w:pPr>
          </w:p>
          <w:p w14:paraId="169D7AD4" w14:textId="4EBF9521" w:rsidR="00816A70" w:rsidRDefault="00816A70" w:rsidP="00816A70">
            <w:pPr>
              <w:pStyle w:val="NoSpacing"/>
            </w:pPr>
            <w:r w:rsidRPr="008D40C1">
              <w:t xml:space="preserve">The minutes were approved as a correct record of the business transacted, and </w:t>
            </w:r>
            <w:r w:rsidRPr="00B152B1">
              <w:rPr>
                <w:i/>
              </w:rPr>
              <w:t>prima facie</w:t>
            </w:r>
            <w:r w:rsidRPr="008D40C1">
              <w:t xml:space="preserve"> evidence of the proceedings to which they relate</w:t>
            </w:r>
            <w:r w:rsidR="00DA51C3">
              <w:t>.</w:t>
            </w:r>
          </w:p>
          <w:p w14:paraId="6942CEB6" w14:textId="610CF4E1" w:rsidR="0081701D" w:rsidRDefault="0081701D" w:rsidP="005363B3">
            <w:pPr>
              <w:pStyle w:val="NoSpacing"/>
              <w:rPr>
                <w:b/>
              </w:rPr>
            </w:pPr>
          </w:p>
        </w:tc>
      </w:tr>
      <w:tr w:rsidR="00504FAF" w14:paraId="0E57A065" w14:textId="77777777" w:rsidTr="00793870">
        <w:tc>
          <w:tcPr>
            <w:tcW w:w="529" w:type="dxa"/>
            <w:shd w:val="clear" w:color="auto" w:fill="auto"/>
            <w:tcMar>
              <w:top w:w="0" w:type="dxa"/>
              <w:left w:w="108" w:type="dxa"/>
              <w:bottom w:w="0" w:type="dxa"/>
              <w:right w:w="108" w:type="dxa"/>
            </w:tcMar>
          </w:tcPr>
          <w:p w14:paraId="17BD401C" w14:textId="68F4EBE5" w:rsidR="00504FAF" w:rsidRDefault="00504FAF" w:rsidP="005363B3">
            <w:pPr>
              <w:pStyle w:val="NoSpacing"/>
              <w:rPr>
                <w:b/>
              </w:rPr>
            </w:pPr>
            <w:r>
              <w:rPr>
                <w:b/>
              </w:rPr>
              <w:t>4</w:t>
            </w:r>
          </w:p>
        </w:tc>
        <w:tc>
          <w:tcPr>
            <w:tcW w:w="8935" w:type="dxa"/>
            <w:shd w:val="clear" w:color="auto" w:fill="auto"/>
            <w:tcMar>
              <w:top w:w="0" w:type="dxa"/>
              <w:left w:w="108" w:type="dxa"/>
              <w:bottom w:w="0" w:type="dxa"/>
              <w:right w:w="108" w:type="dxa"/>
            </w:tcMar>
          </w:tcPr>
          <w:p w14:paraId="7B4CB8E1" w14:textId="77777777" w:rsidR="00F454D9" w:rsidRPr="00FE6148" w:rsidRDefault="0081701D" w:rsidP="00F454D9">
            <w:pPr>
              <w:rPr>
                <w:rFonts w:ascii="Verdana" w:hAnsi="Verdana"/>
                <w:b/>
              </w:rPr>
            </w:pPr>
            <w:r w:rsidRPr="00FE6148">
              <w:rPr>
                <w:rFonts w:ascii="Verdana" w:hAnsi="Verdana"/>
                <w:b/>
              </w:rPr>
              <w:t xml:space="preserve">Matters Arising from the Draft Minutes (Ordinary Business): </w:t>
            </w:r>
            <w:r w:rsidR="00F454D9">
              <w:rPr>
                <w:rFonts w:ascii="Verdana" w:hAnsi="Verdana"/>
                <w:b/>
              </w:rPr>
              <w:t>11 November 2019</w:t>
            </w:r>
          </w:p>
          <w:p w14:paraId="637818DC" w14:textId="495D9CD4" w:rsidR="00903D20" w:rsidRDefault="00903D20" w:rsidP="00A610AD">
            <w:pPr>
              <w:pStyle w:val="NormalWeb"/>
            </w:pPr>
          </w:p>
          <w:p w14:paraId="0554AEBD" w14:textId="77777777" w:rsidR="00A610AD" w:rsidRPr="00A610AD" w:rsidRDefault="00A610AD" w:rsidP="00A610AD">
            <w:pPr>
              <w:pStyle w:val="NormalWeb"/>
              <w:rPr>
                <w:rFonts w:ascii="Verdana" w:hAnsi="Verdana"/>
              </w:rPr>
            </w:pPr>
            <w:r w:rsidRPr="00A610AD">
              <w:rPr>
                <w:rFonts w:ascii="Verdana" w:hAnsi="Verdana"/>
              </w:rPr>
              <w:t>None.</w:t>
            </w:r>
          </w:p>
          <w:p w14:paraId="52512725" w14:textId="4F337D24" w:rsidR="00A610AD" w:rsidRPr="00816A70" w:rsidRDefault="00A610AD" w:rsidP="00A610AD">
            <w:pPr>
              <w:pStyle w:val="NormalWeb"/>
            </w:pPr>
          </w:p>
        </w:tc>
      </w:tr>
      <w:tr w:rsidR="002E7806" w:rsidRPr="005D6214" w14:paraId="094DBA0D" w14:textId="77777777" w:rsidTr="00793870">
        <w:tc>
          <w:tcPr>
            <w:tcW w:w="529" w:type="dxa"/>
            <w:shd w:val="clear" w:color="auto" w:fill="auto"/>
            <w:tcMar>
              <w:top w:w="0" w:type="dxa"/>
              <w:left w:w="108" w:type="dxa"/>
              <w:bottom w:w="0" w:type="dxa"/>
              <w:right w:w="108" w:type="dxa"/>
            </w:tcMar>
          </w:tcPr>
          <w:p w14:paraId="74FFCF5A" w14:textId="05E7337B" w:rsidR="002E7806" w:rsidRDefault="002E7806" w:rsidP="005363B3">
            <w:pPr>
              <w:pStyle w:val="NoSpacing"/>
              <w:rPr>
                <w:b/>
              </w:rPr>
            </w:pPr>
            <w:r>
              <w:rPr>
                <w:b/>
              </w:rPr>
              <w:t>5</w:t>
            </w:r>
          </w:p>
        </w:tc>
        <w:tc>
          <w:tcPr>
            <w:tcW w:w="8935" w:type="dxa"/>
            <w:shd w:val="clear" w:color="auto" w:fill="auto"/>
            <w:tcMar>
              <w:top w:w="0" w:type="dxa"/>
              <w:left w:w="108" w:type="dxa"/>
              <w:bottom w:w="0" w:type="dxa"/>
              <w:right w:w="108" w:type="dxa"/>
            </w:tcMar>
          </w:tcPr>
          <w:p w14:paraId="4000B52A" w14:textId="77777777" w:rsidR="002E7806" w:rsidRDefault="002E7806" w:rsidP="002E7806">
            <w:pPr>
              <w:rPr>
                <w:rFonts w:ascii="Verdana" w:hAnsi="Verdana"/>
                <w:b/>
              </w:rPr>
            </w:pPr>
            <w:r>
              <w:rPr>
                <w:rFonts w:ascii="Verdana" w:hAnsi="Verdana"/>
                <w:b/>
              </w:rPr>
              <w:t>Risk Management Report</w:t>
            </w:r>
          </w:p>
          <w:p w14:paraId="7DABBECE" w14:textId="77777777" w:rsidR="002E7806" w:rsidRDefault="002E7806" w:rsidP="003C03CB">
            <w:pPr>
              <w:rPr>
                <w:rFonts w:ascii="Verdana" w:hAnsi="Verdana"/>
                <w:b/>
              </w:rPr>
            </w:pPr>
          </w:p>
          <w:p w14:paraId="79A97726" w14:textId="5DD1F42E" w:rsidR="002E7806" w:rsidRDefault="002E7806" w:rsidP="002E7806">
            <w:pPr>
              <w:rPr>
                <w:rFonts w:ascii="Verdana" w:hAnsi="Verdana"/>
                <w:bCs/>
              </w:rPr>
            </w:pPr>
            <w:r>
              <w:rPr>
                <w:rFonts w:ascii="Verdana" w:hAnsi="Verdana"/>
                <w:bCs/>
              </w:rPr>
              <w:t>It was noted</w:t>
            </w:r>
            <w:r w:rsidRPr="00B57A06">
              <w:rPr>
                <w:rFonts w:ascii="Verdana" w:hAnsi="Verdana"/>
                <w:bCs/>
              </w:rPr>
              <w:t xml:space="preserve"> </w:t>
            </w:r>
            <w:r>
              <w:rPr>
                <w:rFonts w:ascii="Verdana" w:hAnsi="Verdana"/>
                <w:bCs/>
              </w:rPr>
              <w:t>that the Board level</w:t>
            </w:r>
            <w:r w:rsidRPr="00B57A06">
              <w:rPr>
                <w:rFonts w:ascii="Verdana" w:hAnsi="Verdana"/>
                <w:bCs/>
              </w:rPr>
              <w:t xml:space="preserve"> risk falling within the remit of the Committee</w:t>
            </w:r>
            <w:r>
              <w:rPr>
                <w:rFonts w:ascii="Verdana" w:hAnsi="Verdana"/>
                <w:bCs/>
              </w:rPr>
              <w:t xml:space="preserve"> is considered under Agendum 6 below</w:t>
            </w:r>
            <w:r w:rsidRPr="00B57A06">
              <w:rPr>
                <w:rFonts w:ascii="Verdana" w:hAnsi="Verdana"/>
                <w:bCs/>
              </w:rPr>
              <w:t>.</w:t>
            </w:r>
          </w:p>
          <w:p w14:paraId="754CEBCE" w14:textId="77777777" w:rsidR="002E7806" w:rsidRDefault="002E7806" w:rsidP="002E7806">
            <w:pPr>
              <w:rPr>
                <w:rFonts w:ascii="Verdana" w:hAnsi="Verdana"/>
                <w:bCs/>
              </w:rPr>
            </w:pPr>
          </w:p>
          <w:p w14:paraId="22FF398B" w14:textId="0A0B8EE0" w:rsidR="002E7806" w:rsidRPr="00B57A06" w:rsidRDefault="002E7806" w:rsidP="002E7806">
            <w:pPr>
              <w:rPr>
                <w:rFonts w:ascii="Verdana" w:hAnsi="Verdana"/>
                <w:bCs/>
              </w:rPr>
            </w:pPr>
            <w:r>
              <w:rPr>
                <w:rFonts w:ascii="Verdana" w:hAnsi="Verdana"/>
                <w:bCs/>
              </w:rPr>
              <w:t>It was also noted that any other risks requiring the Audit Committee’s attention are to be identified in the course of the meeting</w:t>
            </w:r>
            <w:r w:rsidR="001D5205">
              <w:rPr>
                <w:rFonts w:ascii="Verdana" w:hAnsi="Verdana"/>
                <w:bCs/>
              </w:rPr>
              <w:t xml:space="preserve"> and duly reported to the said committee</w:t>
            </w:r>
            <w:r>
              <w:rPr>
                <w:rFonts w:ascii="Verdana" w:hAnsi="Verdana"/>
                <w:bCs/>
              </w:rPr>
              <w:t>.</w:t>
            </w:r>
            <w:r w:rsidR="001B0590">
              <w:rPr>
                <w:rFonts w:ascii="Verdana" w:hAnsi="Verdana"/>
                <w:bCs/>
              </w:rPr>
              <w:t xml:space="preserve">  None were identified.</w:t>
            </w:r>
          </w:p>
          <w:p w14:paraId="104DDBB8" w14:textId="77777777" w:rsidR="002E7806" w:rsidRDefault="002E7806" w:rsidP="003C03CB">
            <w:pPr>
              <w:rPr>
                <w:rFonts w:ascii="Verdana" w:hAnsi="Verdana"/>
                <w:b/>
              </w:rPr>
            </w:pPr>
          </w:p>
          <w:p w14:paraId="237DB377" w14:textId="77777777" w:rsidR="00777E84" w:rsidRDefault="00777E84" w:rsidP="003C03CB">
            <w:pPr>
              <w:rPr>
                <w:rFonts w:ascii="Verdana" w:hAnsi="Verdana"/>
                <w:b/>
              </w:rPr>
            </w:pPr>
          </w:p>
          <w:p w14:paraId="3AA8C67B" w14:textId="77777777" w:rsidR="00777E84" w:rsidRDefault="00777E84" w:rsidP="003C03CB">
            <w:pPr>
              <w:rPr>
                <w:rFonts w:ascii="Verdana" w:hAnsi="Verdana"/>
                <w:b/>
              </w:rPr>
            </w:pPr>
          </w:p>
          <w:p w14:paraId="7A308342" w14:textId="6BF0C269" w:rsidR="00777E84" w:rsidRDefault="00777E84" w:rsidP="003C03CB">
            <w:pPr>
              <w:rPr>
                <w:rFonts w:ascii="Verdana" w:hAnsi="Verdana"/>
                <w:b/>
              </w:rPr>
            </w:pPr>
          </w:p>
          <w:p w14:paraId="0E5F166E" w14:textId="77777777" w:rsidR="00793870" w:rsidRDefault="00793870" w:rsidP="003C03CB">
            <w:pPr>
              <w:rPr>
                <w:rFonts w:ascii="Verdana" w:hAnsi="Verdana"/>
                <w:b/>
              </w:rPr>
            </w:pPr>
          </w:p>
          <w:p w14:paraId="14C29EAB" w14:textId="77D3249D" w:rsidR="00777E84" w:rsidRDefault="00777E84" w:rsidP="003C03CB">
            <w:pPr>
              <w:rPr>
                <w:rFonts w:ascii="Verdana" w:hAnsi="Verdana"/>
                <w:b/>
              </w:rPr>
            </w:pPr>
          </w:p>
        </w:tc>
      </w:tr>
      <w:tr w:rsidR="00626F4B" w:rsidRPr="005D6214" w14:paraId="3B8AEF8B" w14:textId="77777777" w:rsidTr="00793870">
        <w:tc>
          <w:tcPr>
            <w:tcW w:w="529" w:type="dxa"/>
            <w:shd w:val="clear" w:color="auto" w:fill="auto"/>
            <w:tcMar>
              <w:top w:w="0" w:type="dxa"/>
              <w:left w:w="108" w:type="dxa"/>
              <w:bottom w:w="0" w:type="dxa"/>
              <w:right w:w="108" w:type="dxa"/>
            </w:tcMar>
          </w:tcPr>
          <w:p w14:paraId="66BADDFA" w14:textId="3AC18523" w:rsidR="00626F4B" w:rsidRPr="005D6214" w:rsidRDefault="002E7806" w:rsidP="005363B3">
            <w:pPr>
              <w:pStyle w:val="NoSpacing"/>
              <w:rPr>
                <w:b/>
                <w:color w:val="FF0000"/>
              </w:rPr>
            </w:pPr>
            <w:r>
              <w:rPr>
                <w:b/>
              </w:rPr>
              <w:lastRenderedPageBreak/>
              <w:t>6</w:t>
            </w:r>
          </w:p>
        </w:tc>
        <w:tc>
          <w:tcPr>
            <w:tcW w:w="8935" w:type="dxa"/>
            <w:shd w:val="clear" w:color="auto" w:fill="auto"/>
            <w:tcMar>
              <w:top w:w="0" w:type="dxa"/>
              <w:left w:w="108" w:type="dxa"/>
              <w:bottom w:w="0" w:type="dxa"/>
              <w:right w:w="108" w:type="dxa"/>
            </w:tcMar>
          </w:tcPr>
          <w:p w14:paraId="0CFEE260" w14:textId="6995D4F8" w:rsidR="003C03CB" w:rsidRDefault="003C03CB" w:rsidP="003C03CB">
            <w:pPr>
              <w:rPr>
                <w:rFonts w:ascii="Verdana" w:hAnsi="Verdana"/>
                <w:b/>
              </w:rPr>
            </w:pPr>
            <w:r>
              <w:rPr>
                <w:rFonts w:ascii="Verdana" w:hAnsi="Verdana"/>
                <w:b/>
              </w:rPr>
              <w:t>Communications and Marketing, with Special Reference to Student Recruitment</w:t>
            </w:r>
          </w:p>
          <w:p w14:paraId="34182FA5" w14:textId="77777777" w:rsidR="003C03CB" w:rsidRDefault="003C03CB" w:rsidP="003C03CB">
            <w:pPr>
              <w:rPr>
                <w:rFonts w:ascii="Verdana" w:hAnsi="Verdana"/>
                <w:b/>
              </w:rPr>
            </w:pPr>
          </w:p>
          <w:p w14:paraId="4BA5CD3F" w14:textId="4DF34B27" w:rsidR="00803EAD" w:rsidRDefault="003C03CB" w:rsidP="00D14DBE">
            <w:pPr>
              <w:rPr>
                <w:rFonts w:ascii="Verdana" w:hAnsi="Verdana"/>
              </w:rPr>
            </w:pPr>
            <w:r>
              <w:rPr>
                <w:rFonts w:ascii="Verdana" w:hAnsi="Verdana"/>
              </w:rPr>
              <w:t>A report</w:t>
            </w:r>
            <w:r w:rsidR="00DC6088">
              <w:rPr>
                <w:rFonts w:ascii="Verdana" w:hAnsi="Verdana"/>
              </w:rPr>
              <w:t xml:space="preserve">, together with a </w:t>
            </w:r>
            <w:r w:rsidR="00441A61">
              <w:rPr>
                <w:rFonts w:ascii="Verdana" w:hAnsi="Verdana"/>
              </w:rPr>
              <w:t xml:space="preserve">retrospective </w:t>
            </w:r>
            <w:r w:rsidR="00DC6088">
              <w:rPr>
                <w:rFonts w:ascii="Verdana" w:hAnsi="Verdana"/>
              </w:rPr>
              <w:t>schematic diagram</w:t>
            </w:r>
            <w:r w:rsidR="00441A61">
              <w:rPr>
                <w:rFonts w:ascii="Verdana" w:hAnsi="Verdana"/>
              </w:rPr>
              <w:t xml:space="preserve"> (201</w:t>
            </w:r>
            <w:r w:rsidR="00F454D9">
              <w:rPr>
                <w:rFonts w:ascii="Verdana" w:hAnsi="Verdana"/>
              </w:rPr>
              <w:t>8</w:t>
            </w:r>
            <w:r w:rsidR="00441A61">
              <w:rPr>
                <w:rFonts w:ascii="Verdana" w:hAnsi="Verdana"/>
              </w:rPr>
              <w:t>-</w:t>
            </w:r>
            <w:r w:rsidR="00F454D9">
              <w:rPr>
                <w:rFonts w:ascii="Verdana" w:hAnsi="Verdana"/>
              </w:rPr>
              <w:t>20</w:t>
            </w:r>
            <w:r w:rsidR="00441A61">
              <w:rPr>
                <w:rFonts w:ascii="Verdana" w:hAnsi="Verdana"/>
              </w:rPr>
              <w:t xml:space="preserve">) </w:t>
            </w:r>
            <w:r>
              <w:rPr>
                <w:rFonts w:ascii="Verdana" w:hAnsi="Verdana"/>
              </w:rPr>
              <w:t xml:space="preserve">prepared by the Vice-Principal: </w:t>
            </w:r>
            <w:r w:rsidRPr="00FE7EDC">
              <w:rPr>
                <w:rFonts w:ascii="Verdana" w:hAnsi="Verdana"/>
              </w:rPr>
              <w:t>Student S</w:t>
            </w:r>
            <w:r>
              <w:rPr>
                <w:rFonts w:ascii="Verdana" w:hAnsi="Verdana"/>
              </w:rPr>
              <w:t>ervices and Recruitment</w:t>
            </w:r>
            <w:r w:rsidR="00441A61">
              <w:rPr>
                <w:rFonts w:ascii="Verdana" w:hAnsi="Verdana"/>
              </w:rPr>
              <w:t>,</w:t>
            </w:r>
            <w:r w:rsidR="006433BD">
              <w:rPr>
                <w:rFonts w:ascii="Verdana" w:hAnsi="Verdana"/>
              </w:rPr>
              <w:t xml:space="preserve"> was received and considered.  </w:t>
            </w:r>
          </w:p>
          <w:p w14:paraId="498DCC7A" w14:textId="7932CE86" w:rsidR="00F454D9" w:rsidRDefault="00F454D9" w:rsidP="00D14DBE">
            <w:pPr>
              <w:rPr>
                <w:rFonts w:ascii="Verdana" w:hAnsi="Verdana"/>
              </w:rPr>
            </w:pPr>
          </w:p>
          <w:p w14:paraId="4DE8AF3A" w14:textId="240F9285" w:rsidR="006E00B3" w:rsidRDefault="006433BD" w:rsidP="00D14DBE">
            <w:pPr>
              <w:rPr>
                <w:rFonts w:ascii="Verdana" w:hAnsi="Verdana"/>
              </w:rPr>
            </w:pPr>
            <w:r w:rsidRPr="00F454D9">
              <w:rPr>
                <w:rFonts w:ascii="Verdana" w:hAnsi="Verdana"/>
              </w:rPr>
              <w:t xml:space="preserve">It was </w:t>
            </w:r>
            <w:r w:rsidR="005F3061" w:rsidRPr="00F454D9">
              <w:rPr>
                <w:rFonts w:ascii="Verdana" w:hAnsi="Verdana"/>
              </w:rPr>
              <w:t>repor</w:t>
            </w:r>
            <w:r w:rsidRPr="00F454D9">
              <w:rPr>
                <w:rFonts w:ascii="Verdana" w:hAnsi="Verdana"/>
              </w:rPr>
              <w:t>ted that</w:t>
            </w:r>
            <w:r w:rsidR="002E7806" w:rsidRPr="00F454D9">
              <w:rPr>
                <w:rFonts w:ascii="Verdana" w:hAnsi="Verdana"/>
              </w:rPr>
              <w:t xml:space="preserve"> </w:t>
            </w:r>
            <w:r w:rsidR="00F454D9" w:rsidRPr="00F454D9">
              <w:rPr>
                <w:rFonts w:ascii="Verdana" w:hAnsi="Verdana"/>
              </w:rPr>
              <w:t>general improvements seen last year in school liaison, opportunities for potential students to visit the college, the general marketing of the college and how the interest of potential students is sustained have been maintained th</w:t>
            </w:r>
            <w:r w:rsidR="00F454D9">
              <w:rPr>
                <w:rFonts w:ascii="Verdana" w:hAnsi="Verdana"/>
              </w:rPr>
              <w:t>e current</w:t>
            </w:r>
            <w:r w:rsidR="00F454D9" w:rsidRPr="00F454D9">
              <w:rPr>
                <w:rFonts w:ascii="Verdana" w:hAnsi="Verdana"/>
              </w:rPr>
              <w:t xml:space="preserve"> year</w:t>
            </w:r>
            <w:r w:rsidR="00F454D9">
              <w:rPr>
                <w:rFonts w:ascii="Verdana" w:hAnsi="Verdana"/>
              </w:rPr>
              <w:t>.</w:t>
            </w:r>
          </w:p>
          <w:p w14:paraId="0474BC48" w14:textId="0D67BFF8" w:rsidR="00F454D9" w:rsidRDefault="00F454D9" w:rsidP="00D14DBE">
            <w:pPr>
              <w:rPr>
                <w:rFonts w:ascii="Verdana" w:hAnsi="Verdana"/>
              </w:rPr>
            </w:pPr>
          </w:p>
          <w:p w14:paraId="603C4E34" w14:textId="6D7FCFD2" w:rsidR="00F454D9" w:rsidRPr="00DA46D0" w:rsidRDefault="00F454D9" w:rsidP="00D14DBE">
            <w:pPr>
              <w:rPr>
                <w:rFonts w:ascii="Verdana" w:hAnsi="Verdana"/>
              </w:rPr>
            </w:pPr>
            <w:r w:rsidRPr="00DA46D0">
              <w:rPr>
                <w:rFonts w:ascii="Verdana" w:hAnsi="Verdana"/>
              </w:rPr>
              <w:t>The number of applications had been significantly above, and the number of offers below, the previous year</w:t>
            </w:r>
            <w:r w:rsidR="00DA46D0">
              <w:rPr>
                <w:rFonts w:ascii="Verdana" w:hAnsi="Verdana"/>
              </w:rPr>
              <w:t xml:space="preserve"> (see bullet points below)</w:t>
            </w:r>
            <w:r w:rsidRPr="00DA46D0">
              <w:rPr>
                <w:rFonts w:ascii="Verdana" w:hAnsi="Verdana"/>
              </w:rPr>
              <w:t>.</w:t>
            </w:r>
          </w:p>
          <w:p w14:paraId="63BB2FB1" w14:textId="1F218C78" w:rsidR="00F454D9" w:rsidRPr="00DA46D0" w:rsidRDefault="00F454D9" w:rsidP="00D14DBE">
            <w:pPr>
              <w:rPr>
                <w:rFonts w:ascii="Verdana" w:hAnsi="Verdana"/>
              </w:rPr>
            </w:pPr>
          </w:p>
          <w:p w14:paraId="2DED572F" w14:textId="1D47CBCA" w:rsidR="00F454D9" w:rsidRPr="00DA46D0" w:rsidRDefault="00F454D9" w:rsidP="00F454D9">
            <w:pPr>
              <w:rPr>
                <w:rFonts w:ascii="Verdana" w:hAnsi="Verdana"/>
              </w:rPr>
            </w:pPr>
            <w:r w:rsidRPr="00DA46D0">
              <w:rPr>
                <w:rFonts w:ascii="Verdana" w:hAnsi="Verdana"/>
              </w:rPr>
              <w:t xml:space="preserve">Whilst it is too early in the year to present a firm projection of numbers, an early indication suggests that 1,820 students will be </w:t>
            </w:r>
            <w:r w:rsidR="00DA46D0" w:rsidRPr="00DA46D0">
              <w:rPr>
                <w:rFonts w:ascii="Verdana" w:hAnsi="Verdana"/>
              </w:rPr>
              <w:t>enroll</w:t>
            </w:r>
            <w:r w:rsidRPr="00DA46D0">
              <w:rPr>
                <w:rFonts w:ascii="Verdana" w:hAnsi="Verdana"/>
              </w:rPr>
              <w:t xml:space="preserve">ed for 2020-21, which would </w:t>
            </w:r>
            <w:r w:rsidR="00DA46D0" w:rsidRPr="00DA46D0">
              <w:rPr>
                <w:rFonts w:ascii="Verdana" w:hAnsi="Verdana"/>
              </w:rPr>
              <w:t>represent the College’s present</w:t>
            </w:r>
            <w:r w:rsidRPr="00DA46D0">
              <w:rPr>
                <w:rFonts w:ascii="Verdana" w:hAnsi="Verdana"/>
              </w:rPr>
              <w:t xml:space="preserve"> maximum capacity.</w:t>
            </w:r>
          </w:p>
          <w:p w14:paraId="65169209" w14:textId="77777777" w:rsidR="00F454D9" w:rsidRPr="00DA46D0" w:rsidRDefault="00F454D9" w:rsidP="00D14DBE">
            <w:pPr>
              <w:rPr>
                <w:rFonts w:ascii="Verdana" w:hAnsi="Verdana"/>
              </w:rPr>
            </w:pPr>
          </w:p>
          <w:p w14:paraId="2878C0D8" w14:textId="2D33C186" w:rsidR="0042218C" w:rsidRPr="00A973DA" w:rsidRDefault="00DA46D0" w:rsidP="00D14DBE">
            <w:pPr>
              <w:rPr>
                <w:rFonts w:ascii="Verdana" w:hAnsi="Verdana"/>
              </w:rPr>
            </w:pPr>
            <w:r>
              <w:rPr>
                <w:rFonts w:ascii="Verdana" w:hAnsi="Verdana"/>
              </w:rPr>
              <w:t>In relation to the pattern of applications and offers, it was reported that:</w:t>
            </w:r>
          </w:p>
        </w:tc>
      </w:tr>
    </w:tbl>
    <w:p w14:paraId="52D904AF" w14:textId="77777777" w:rsidR="002E7806" w:rsidRDefault="002E7806"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C760FC" w14:paraId="5671DCC0" w14:textId="77777777" w:rsidTr="00793870">
        <w:tc>
          <w:tcPr>
            <w:tcW w:w="534" w:type="dxa"/>
          </w:tcPr>
          <w:p w14:paraId="627D21BB" w14:textId="77777777" w:rsidR="00C760FC" w:rsidRPr="002F412F" w:rsidRDefault="00C760FC" w:rsidP="00626F4B">
            <w:pPr>
              <w:rPr>
                <w:rFonts w:ascii="Verdana" w:hAnsi="Verdana"/>
                <w:color w:val="FF0000"/>
              </w:rPr>
            </w:pPr>
          </w:p>
        </w:tc>
        <w:tc>
          <w:tcPr>
            <w:tcW w:w="312" w:type="dxa"/>
          </w:tcPr>
          <w:p w14:paraId="7583EE4E" w14:textId="387B8453" w:rsidR="00C760FC" w:rsidRPr="002F412F" w:rsidRDefault="002F412F" w:rsidP="00626F4B">
            <w:pPr>
              <w:rPr>
                <w:rFonts w:ascii="Verdana" w:hAnsi="Verdana"/>
                <w:b/>
              </w:rPr>
            </w:pPr>
            <w:r w:rsidRPr="002F412F">
              <w:rPr>
                <w:rFonts w:ascii="Verdana" w:hAnsi="Verdana"/>
                <w:b/>
              </w:rPr>
              <w:t>.</w:t>
            </w:r>
          </w:p>
        </w:tc>
        <w:tc>
          <w:tcPr>
            <w:tcW w:w="8618" w:type="dxa"/>
          </w:tcPr>
          <w:p w14:paraId="14516A2B" w14:textId="77777777" w:rsidR="00DA46D0" w:rsidRDefault="00DA46D0" w:rsidP="007C2BF3">
            <w:pPr>
              <w:pStyle w:val="NoSpacing"/>
            </w:pPr>
            <w:r>
              <w:t xml:space="preserve">the Marketing Strategy for this academic year included an action to introduce a new, online application system, but that in December it was noticed that bugs in the previous, externally commissioned system had become worse, leading to a decision to advance the introduction of the in-house online application system; </w:t>
            </w:r>
          </w:p>
          <w:p w14:paraId="615A0B56" w14:textId="2C8C1013" w:rsidR="0042218C" w:rsidRPr="002F412F" w:rsidRDefault="00DA46D0" w:rsidP="007C2BF3">
            <w:pPr>
              <w:pStyle w:val="NoSpacing"/>
            </w:pPr>
            <w:r>
              <w:t xml:space="preserve"> </w:t>
            </w:r>
          </w:p>
        </w:tc>
      </w:tr>
      <w:tr w:rsidR="00C760FC" w14:paraId="44EA1BB9" w14:textId="77777777" w:rsidTr="00793870">
        <w:tc>
          <w:tcPr>
            <w:tcW w:w="534" w:type="dxa"/>
          </w:tcPr>
          <w:p w14:paraId="692E8AEA" w14:textId="77777777" w:rsidR="00C760FC" w:rsidRPr="002F412F" w:rsidRDefault="00C760FC" w:rsidP="00626F4B">
            <w:pPr>
              <w:rPr>
                <w:rFonts w:ascii="Verdana" w:hAnsi="Verdana"/>
                <w:color w:val="FF0000"/>
              </w:rPr>
            </w:pPr>
          </w:p>
        </w:tc>
        <w:tc>
          <w:tcPr>
            <w:tcW w:w="312" w:type="dxa"/>
          </w:tcPr>
          <w:p w14:paraId="399412B1" w14:textId="7590410F" w:rsidR="00C760FC" w:rsidRPr="002F412F" w:rsidRDefault="002F412F" w:rsidP="00626F4B">
            <w:pPr>
              <w:rPr>
                <w:rFonts w:ascii="Verdana" w:hAnsi="Verdana"/>
                <w:b/>
              </w:rPr>
            </w:pPr>
            <w:r w:rsidRPr="002F412F">
              <w:rPr>
                <w:rFonts w:ascii="Verdana" w:hAnsi="Verdana"/>
                <w:b/>
              </w:rPr>
              <w:t>.</w:t>
            </w:r>
          </w:p>
        </w:tc>
        <w:tc>
          <w:tcPr>
            <w:tcW w:w="8618" w:type="dxa"/>
          </w:tcPr>
          <w:p w14:paraId="20101A55" w14:textId="77777777" w:rsidR="0042218C" w:rsidRDefault="00DA46D0" w:rsidP="00C13A8E">
            <w:pPr>
              <w:pStyle w:val="NoSpacing"/>
            </w:pPr>
            <w:r>
              <w:t>the spike in January had therefore been due to the ease of the new system and re-applications from students who had tried (and failed) in December such that, whilst it is pleasing to see such a significant increase in applications, it should be treated with caution – as the relative ease of application may lead to an increase in students applying to the College who do not have a genuine interest in studying - the number of offers is still the key metric to track, and this is slightly below last year;</w:t>
            </w:r>
          </w:p>
          <w:p w14:paraId="009DE86C" w14:textId="4F5F8F7A" w:rsidR="00DA46D0" w:rsidRPr="007C2BF3" w:rsidRDefault="00DA46D0" w:rsidP="00C13A8E">
            <w:pPr>
              <w:pStyle w:val="NoSpacing"/>
            </w:pPr>
          </w:p>
        </w:tc>
      </w:tr>
      <w:tr w:rsidR="00C760FC" w:rsidRPr="00FD21C4" w14:paraId="16DD6EC2" w14:textId="77777777" w:rsidTr="00793870">
        <w:tc>
          <w:tcPr>
            <w:tcW w:w="534" w:type="dxa"/>
          </w:tcPr>
          <w:p w14:paraId="643673A7" w14:textId="77777777" w:rsidR="00C760FC" w:rsidRPr="00FD21C4" w:rsidRDefault="00C760FC" w:rsidP="00626F4B">
            <w:pPr>
              <w:rPr>
                <w:rFonts w:ascii="Verdana" w:hAnsi="Verdana"/>
                <w:color w:val="FF0000"/>
              </w:rPr>
            </w:pPr>
          </w:p>
        </w:tc>
        <w:tc>
          <w:tcPr>
            <w:tcW w:w="312" w:type="dxa"/>
          </w:tcPr>
          <w:p w14:paraId="17FFC51B" w14:textId="3A1CE5A5" w:rsidR="00C760FC" w:rsidRPr="00FD21C4" w:rsidRDefault="002F412F" w:rsidP="00626F4B">
            <w:pPr>
              <w:rPr>
                <w:rFonts w:ascii="Verdana" w:hAnsi="Verdana"/>
                <w:b/>
              </w:rPr>
            </w:pPr>
            <w:r w:rsidRPr="00FD21C4">
              <w:rPr>
                <w:rFonts w:ascii="Verdana" w:hAnsi="Verdana"/>
                <w:b/>
              </w:rPr>
              <w:t>.</w:t>
            </w:r>
          </w:p>
        </w:tc>
        <w:tc>
          <w:tcPr>
            <w:tcW w:w="8618" w:type="dxa"/>
          </w:tcPr>
          <w:p w14:paraId="4A3964D0" w14:textId="521D6166" w:rsidR="00120D38" w:rsidRPr="00FD21C4" w:rsidRDefault="00DA46D0" w:rsidP="001E492E">
            <w:pPr>
              <w:pStyle w:val="NoSpacing"/>
            </w:pPr>
            <w:r w:rsidRPr="00FD21C4">
              <w:t>the relative decrease in offers compared to last year is something to monitor closely, but should not cause concern at this stage for the following reasons:</w:t>
            </w:r>
          </w:p>
        </w:tc>
      </w:tr>
    </w:tbl>
    <w:p w14:paraId="505F3A8A" w14:textId="0948DDB9" w:rsidR="006B54C2" w:rsidRPr="00FD21C4" w:rsidRDefault="006B54C2" w:rsidP="00626F4B">
      <w:pPr>
        <w:rPr>
          <w:rFonts w:ascii="Verdana" w:hAnsi="Verdana"/>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352"/>
      </w:tblGrid>
      <w:tr w:rsidR="00DA46D0" w:rsidRPr="00FD21C4" w14:paraId="1DA0AFB9" w14:textId="77777777" w:rsidTr="00793870">
        <w:tc>
          <w:tcPr>
            <w:tcW w:w="561" w:type="dxa"/>
          </w:tcPr>
          <w:p w14:paraId="00E3C8DE" w14:textId="77777777" w:rsidR="00DA46D0" w:rsidRPr="00FD21C4" w:rsidRDefault="00DA46D0" w:rsidP="00626F4B">
            <w:pPr>
              <w:rPr>
                <w:rFonts w:ascii="Verdana" w:hAnsi="Verdana"/>
              </w:rPr>
            </w:pPr>
          </w:p>
        </w:tc>
        <w:tc>
          <w:tcPr>
            <w:tcW w:w="284" w:type="dxa"/>
          </w:tcPr>
          <w:p w14:paraId="3D9D9CE7" w14:textId="77777777" w:rsidR="00DA46D0" w:rsidRPr="00FD21C4" w:rsidRDefault="00DA46D0" w:rsidP="00626F4B">
            <w:pPr>
              <w:rPr>
                <w:rFonts w:ascii="Verdana" w:hAnsi="Verdana"/>
              </w:rPr>
            </w:pPr>
          </w:p>
        </w:tc>
        <w:tc>
          <w:tcPr>
            <w:tcW w:w="296" w:type="dxa"/>
          </w:tcPr>
          <w:p w14:paraId="629922DB" w14:textId="1A69FC2E" w:rsidR="00DA46D0" w:rsidRPr="00FD21C4" w:rsidRDefault="00DA46D0" w:rsidP="00626F4B">
            <w:pPr>
              <w:rPr>
                <w:rFonts w:ascii="Verdana" w:hAnsi="Verdana"/>
                <w:b/>
                <w:bCs/>
              </w:rPr>
            </w:pPr>
            <w:r w:rsidRPr="00FD21C4">
              <w:rPr>
                <w:rFonts w:ascii="Verdana" w:hAnsi="Verdana"/>
                <w:b/>
                <w:bCs/>
              </w:rPr>
              <w:t>.</w:t>
            </w:r>
          </w:p>
        </w:tc>
        <w:tc>
          <w:tcPr>
            <w:tcW w:w="8352" w:type="dxa"/>
          </w:tcPr>
          <w:p w14:paraId="29F3A7EF" w14:textId="652A1943" w:rsidR="00DA46D0" w:rsidRPr="00FD21C4" w:rsidRDefault="00FD21C4" w:rsidP="00626F4B">
            <w:pPr>
              <w:rPr>
                <w:rFonts w:ascii="Verdana" w:hAnsi="Verdana"/>
              </w:rPr>
            </w:pPr>
            <w:r w:rsidRPr="00FD21C4">
              <w:rPr>
                <w:rFonts w:ascii="Verdana" w:hAnsi="Verdana"/>
              </w:rPr>
              <w:t>s</w:t>
            </w:r>
            <w:r w:rsidR="00DA46D0" w:rsidRPr="00FD21C4">
              <w:rPr>
                <w:rFonts w:ascii="Verdana" w:hAnsi="Verdana"/>
              </w:rPr>
              <w:t>ome decrease in the application/offer percentage was expected due to the relative ease of the new system</w:t>
            </w:r>
            <w:r w:rsidRPr="00FD21C4">
              <w:rPr>
                <w:rFonts w:ascii="Verdana" w:hAnsi="Verdana"/>
              </w:rPr>
              <w:t xml:space="preserve"> – the College is</w:t>
            </w:r>
            <w:r w:rsidR="00DA46D0" w:rsidRPr="00FD21C4">
              <w:rPr>
                <w:rFonts w:ascii="Verdana" w:hAnsi="Verdana"/>
              </w:rPr>
              <w:t xml:space="preserve"> not far behind the equivalent number of offers last year </w:t>
            </w:r>
            <w:r w:rsidRPr="00FD21C4">
              <w:rPr>
                <w:rFonts w:ascii="Verdana" w:hAnsi="Verdana"/>
              </w:rPr>
              <w:t>despite having started</w:t>
            </w:r>
            <w:r w:rsidR="00DA46D0" w:rsidRPr="00FD21C4">
              <w:rPr>
                <w:rFonts w:ascii="Verdana" w:hAnsi="Verdana"/>
              </w:rPr>
              <w:t xml:space="preserve"> </w:t>
            </w:r>
            <w:r w:rsidRPr="00FD21C4">
              <w:rPr>
                <w:rFonts w:ascii="Verdana" w:hAnsi="Verdana"/>
              </w:rPr>
              <w:t>its</w:t>
            </w:r>
            <w:r w:rsidR="00DA46D0" w:rsidRPr="00FD21C4">
              <w:rPr>
                <w:rFonts w:ascii="Verdana" w:hAnsi="Verdana"/>
              </w:rPr>
              <w:t xml:space="preserve"> interview cycle slightly later</w:t>
            </w:r>
            <w:r w:rsidRPr="00FD21C4">
              <w:rPr>
                <w:rFonts w:ascii="Verdana" w:hAnsi="Verdana"/>
              </w:rPr>
              <w:t>;</w:t>
            </w:r>
          </w:p>
          <w:p w14:paraId="27DB282B" w14:textId="4C2E5EB2" w:rsidR="00DA46D0" w:rsidRPr="00FD21C4" w:rsidRDefault="00DA46D0" w:rsidP="00626F4B">
            <w:pPr>
              <w:rPr>
                <w:rFonts w:ascii="Verdana" w:hAnsi="Verdana"/>
              </w:rPr>
            </w:pPr>
          </w:p>
        </w:tc>
      </w:tr>
      <w:tr w:rsidR="00DA46D0" w:rsidRPr="00FD21C4" w14:paraId="303696BF" w14:textId="77777777" w:rsidTr="00793870">
        <w:tc>
          <w:tcPr>
            <w:tcW w:w="561" w:type="dxa"/>
          </w:tcPr>
          <w:p w14:paraId="3882053A" w14:textId="77777777" w:rsidR="00DA46D0" w:rsidRPr="00FD21C4" w:rsidRDefault="00DA46D0" w:rsidP="00626F4B">
            <w:pPr>
              <w:rPr>
                <w:rFonts w:ascii="Verdana" w:hAnsi="Verdana"/>
              </w:rPr>
            </w:pPr>
          </w:p>
        </w:tc>
        <w:tc>
          <w:tcPr>
            <w:tcW w:w="284" w:type="dxa"/>
          </w:tcPr>
          <w:p w14:paraId="6F0F64AC" w14:textId="77777777" w:rsidR="00DA46D0" w:rsidRPr="00FD21C4" w:rsidRDefault="00DA46D0" w:rsidP="00626F4B">
            <w:pPr>
              <w:rPr>
                <w:rFonts w:ascii="Verdana" w:hAnsi="Verdana"/>
              </w:rPr>
            </w:pPr>
          </w:p>
        </w:tc>
        <w:tc>
          <w:tcPr>
            <w:tcW w:w="296" w:type="dxa"/>
          </w:tcPr>
          <w:p w14:paraId="3C961C30" w14:textId="6EFC3E4C" w:rsidR="00DA46D0" w:rsidRPr="00FD21C4" w:rsidRDefault="00DA46D0" w:rsidP="00626F4B">
            <w:pPr>
              <w:rPr>
                <w:rFonts w:ascii="Verdana" w:hAnsi="Verdana"/>
                <w:b/>
                <w:bCs/>
              </w:rPr>
            </w:pPr>
            <w:r w:rsidRPr="00FD21C4">
              <w:rPr>
                <w:rFonts w:ascii="Verdana" w:hAnsi="Verdana"/>
                <w:b/>
                <w:bCs/>
              </w:rPr>
              <w:t>.</w:t>
            </w:r>
          </w:p>
        </w:tc>
        <w:tc>
          <w:tcPr>
            <w:tcW w:w="8352" w:type="dxa"/>
          </w:tcPr>
          <w:p w14:paraId="1EF9FFD5" w14:textId="27752080" w:rsidR="00DA46D0" w:rsidRPr="00FD21C4" w:rsidRDefault="00DA46D0" w:rsidP="00626F4B">
            <w:pPr>
              <w:rPr>
                <w:rFonts w:ascii="Verdana" w:hAnsi="Verdana"/>
                <w:i/>
                <w:iCs/>
              </w:rPr>
            </w:pPr>
            <w:r w:rsidRPr="00FD21C4">
              <w:rPr>
                <w:rFonts w:ascii="Verdana" w:hAnsi="Verdana"/>
              </w:rPr>
              <w:t>the combination of a large spike in January applications,</w:t>
            </w:r>
            <w:r w:rsidR="00FD21C4">
              <w:rPr>
                <w:rFonts w:ascii="Verdana" w:hAnsi="Verdana"/>
              </w:rPr>
              <w:t xml:space="preserve"> the incidence of an</w:t>
            </w:r>
            <w:r w:rsidRPr="00FD21C4">
              <w:rPr>
                <w:rFonts w:ascii="Verdana" w:hAnsi="Verdana"/>
              </w:rPr>
              <w:t xml:space="preserve"> advice evening and a </w:t>
            </w:r>
            <w:r w:rsidR="00FD21C4">
              <w:rPr>
                <w:rFonts w:ascii="Verdana" w:hAnsi="Verdana"/>
              </w:rPr>
              <w:t xml:space="preserve">teachers’ </w:t>
            </w:r>
            <w:r w:rsidRPr="00FD21C4">
              <w:rPr>
                <w:rFonts w:ascii="Verdana" w:hAnsi="Verdana"/>
              </w:rPr>
              <w:t xml:space="preserve">strike meant that less students were invited </w:t>
            </w:r>
            <w:r w:rsidR="00FD21C4">
              <w:rPr>
                <w:rFonts w:ascii="Verdana" w:hAnsi="Verdana"/>
              </w:rPr>
              <w:t>for</w:t>
            </w:r>
            <w:r w:rsidRPr="00FD21C4">
              <w:rPr>
                <w:rFonts w:ascii="Verdana" w:hAnsi="Verdana"/>
              </w:rPr>
              <w:t xml:space="preserve"> interview in February</w:t>
            </w:r>
            <w:r w:rsidR="00FD21C4">
              <w:rPr>
                <w:rFonts w:ascii="Verdana" w:hAnsi="Verdana"/>
              </w:rPr>
              <w:t xml:space="preserve"> leading to</w:t>
            </w:r>
            <w:r w:rsidRPr="00FD21C4">
              <w:rPr>
                <w:rFonts w:ascii="Verdana" w:hAnsi="Verdana"/>
              </w:rPr>
              <w:t xml:space="preserve"> a slight backlog of applicants</w:t>
            </w:r>
            <w:r w:rsidR="00FD21C4">
              <w:rPr>
                <w:rFonts w:ascii="Verdana" w:hAnsi="Verdana"/>
              </w:rPr>
              <w:t xml:space="preserve">; </w:t>
            </w:r>
            <w:r w:rsidR="00FD21C4">
              <w:rPr>
                <w:rFonts w:ascii="Verdana" w:hAnsi="Verdana"/>
                <w:i/>
                <w:iCs/>
              </w:rPr>
              <w:t>and</w:t>
            </w:r>
          </w:p>
          <w:p w14:paraId="49C9A530" w14:textId="77777777" w:rsidR="00DA46D0" w:rsidRDefault="00DA46D0" w:rsidP="00626F4B">
            <w:pPr>
              <w:rPr>
                <w:rFonts w:ascii="Verdana" w:hAnsi="Verdana"/>
              </w:rPr>
            </w:pPr>
          </w:p>
          <w:p w14:paraId="5225587C" w14:textId="77777777" w:rsidR="00793870" w:rsidRDefault="00793870" w:rsidP="00626F4B">
            <w:pPr>
              <w:rPr>
                <w:rFonts w:ascii="Verdana" w:hAnsi="Verdana"/>
              </w:rPr>
            </w:pPr>
          </w:p>
          <w:p w14:paraId="65C42119" w14:textId="57D2EEF0" w:rsidR="00793870" w:rsidRPr="00FD21C4" w:rsidRDefault="00793870" w:rsidP="00626F4B">
            <w:pPr>
              <w:rPr>
                <w:rFonts w:ascii="Verdana" w:hAnsi="Verdana"/>
              </w:rPr>
            </w:pPr>
          </w:p>
        </w:tc>
      </w:tr>
      <w:tr w:rsidR="00DA46D0" w:rsidRPr="00FD21C4" w14:paraId="04CAF077" w14:textId="77777777" w:rsidTr="00793870">
        <w:tc>
          <w:tcPr>
            <w:tcW w:w="561" w:type="dxa"/>
          </w:tcPr>
          <w:p w14:paraId="3941EEFC" w14:textId="77777777" w:rsidR="00DA46D0" w:rsidRPr="00FD21C4" w:rsidRDefault="00DA46D0" w:rsidP="00626F4B">
            <w:pPr>
              <w:rPr>
                <w:rFonts w:ascii="Verdana" w:hAnsi="Verdana"/>
              </w:rPr>
            </w:pPr>
          </w:p>
        </w:tc>
        <w:tc>
          <w:tcPr>
            <w:tcW w:w="284" w:type="dxa"/>
          </w:tcPr>
          <w:p w14:paraId="317A0BF8" w14:textId="77777777" w:rsidR="00DA46D0" w:rsidRPr="00FD21C4" w:rsidRDefault="00DA46D0" w:rsidP="00626F4B">
            <w:pPr>
              <w:rPr>
                <w:rFonts w:ascii="Verdana" w:hAnsi="Verdana"/>
              </w:rPr>
            </w:pPr>
          </w:p>
        </w:tc>
        <w:tc>
          <w:tcPr>
            <w:tcW w:w="296" w:type="dxa"/>
          </w:tcPr>
          <w:p w14:paraId="3229FB71" w14:textId="5DEEDA0A" w:rsidR="00DA46D0" w:rsidRPr="00FD21C4" w:rsidRDefault="00DA46D0" w:rsidP="00626F4B">
            <w:pPr>
              <w:rPr>
                <w:rFonts w:ascii="Verdana" w:hAnsi="Verdana"/>
                <w:b/>
                <w:bCs/>
              </w:rPr>
            </w:pPr>
            <w:r w:rsidRPr="00FD21C4">
              <w:rPr>
                <w:rFonts w:ascii="Verdana" w:hAnsi="Verdana"/>
                <w:b/>
                <w:bCs/>
              </w:rPr>
              <w:t>.</w:t>
            </w:r>
          </w:p>
        </w:tc>
        <w:tc>
          <w:tcPr>
            <w:tcW w:w="8352" w:type="dxa"/>
          </w:tcPr>
          <w:p w14:paraId="0F9FE96F" w14:textId="7057E404" w:rsidR="00DA46D0" w:rsidRPr="00FD21C4" w:rsidRDefault="00FD21C4" w:rsidP="00626F4B">
            <w:pPr>
              <w:rPr>
                <w:rFonts w:ascii="Verdana" w:hAnsi="Verdana"/>
              </w:rPr>
            </w:pPr>
            <w:r>
              <w:rPr>
                <w:rFonts w:ascii="Verdana" w:hAnsi="Verdana"/>
              </w:rPr>
              <w:t>the above</w:t>
            </w:r>
            <w:r w:rsidR="00DA46D0" w:rsidRPr="00FD21C4">
              <w:rPr>
                <w:rFonts w:ascii="Verdana" w:hAnsi="Verdana"/>
              </w:rPr>
              <w:t xml:space="preserve"> factors will also </w:t>
            </w:r>
            <w:r>
              <w:rPr>
                <w:rFonts w:ascii="Verdana" w:hAnsi="Verdana"/>
              </w:rPr>
              <w:t>have contributed to</w:t>
            </w:r>
            <w:r w:rsidR="00DA46D0" w:rsidRPr="00FD21C4">
              <w:rPr>
                <w:rFonts w:ascii="Verdana" w:hAnsi="Verdana"/>
              </w:rPr>
              <w:t xml:space="preserve"> the reduced application/offer percentage, as initial </w:t>
            </w:r>
            <w:r>
              <w:rPr>
                <w:rFonts w:ascii="Verdana" w:hAnsi="Verdana"/>
              </w:rPr>
              <w:t>“</w:t>
            </w:r>
            <w:r w:rsidR="00DA46D0" w:rsidRPr="00FD21C4">
              <w:rPr>
                <w:rFonts w:ascii="Verdana" w:hAnsi="Verdana"/>
              </w:rPr>
              <w:t>no-shows</w:t>
            </w:r>
            <w:r>
              <w:rPr>
                <w:rFonts w:ascii="Verdana" w:hAnsi="Verdana"/>
              </w:rPr>
              <w:t>”</w:t>
            </w:r>
            <w:r w:rsidR="00DA46D0" w:rsidRPr="00FD21C4">
              <w:rPr>
                <w:rFonts w:ascii="Verdana" w:hAnsi="Verdana"/>
              </w:rPr>
              <w:t xml:space="preserve"> will not all have been re-invited in</w:t>
            </w:r>
            <w:r>
              <w:rPr>
                <w:rFonts w:ascii="Verdana" w:hAnsi="Verdana"/>
              </w:rPr>
              <w:t xml:space="preserve"> - w</w:t>
            </w:r>
            <w:r w:rsidR="00DA46D0" w:rsidRPr="00FD21C4">
              <w:rPr>
                <w:rFonts w:ascii="Verdana" w:hAnsi="Verdana"/>
              </w:rPr>
              <w:t xml:space="preserve">hilst this </w:t>
            </w:r>
            <w:r>
              <w:rPr>
                <w:rFonts w:ascii="Verdana" w:hAnsi="Verdana"/>
              </w:rPr>
              <w:t>must be</w:t>
            </w:r>
            <w:r w:rsidR="00DA46D0" w:rsidRPr="00FD21C4">
              <w:rPr>
                <w:rFonts w:ascii="Verdana" w:hAnsi="Verdana"/>
              </w:rPr>
              <w:t xml:space="preserve"> closely monitored, </w:t>
            </w:r>
            <w:r>
              <w:rPr>
                <w:rFonts w:ascii="Verdana" w:hAnsi="Verdana"/>
              </w:rPr>
              <w:t>it has been</w:t>
            </w:r>
            <w:r w:rsidR="00DA46D0" w:rsidRPr="00FD21C4">
              <w:rPr>
                <w:rFonts w:ascii="Verdana" w:hAnsi="Verdana"/>
              </w:rPr>
              <w:t xml:space="preserve"> assumed that offers </w:t>
            </w:r>
            <w:r>
              <w:rPr>
                <w:rFonts w:ascii="Verdana" w:hAnsi="Verdana"/>
              </w:rPr>
              <w:t>adhere closely to</w:t>
            </w:r>
            <w:r w:rsidR="00DA46D0" w:rsidRPr="00FD21C4">
              <w:rPr>
                <w:rFonts w:ascii="Verdana" w:hAnsi="Verdana"/>
              </w:rPr>
              <w:t xml:space="preserve"> last year</w:t>
            </w:r>
            <w:r>
              <w:rPr>
                <w:rFonts w:ascii="Verdana" w:hAnsi="Verdana"/>
              </w:rPr>
              <w:t>’s pattern</w:t>
            </w:r>
            <w:r w:rsidR="00DA46D0" w:rsidRPr="00FD21C4">
              <w:rPr>
                <w:rFonts w:ascii="Verdana" w:hAnsi="Verdana"/>
              </w:rPr>
              <w:t xml:space="preserve"> for the purpose of </w:t>
            </w:r>
            <w:r>
              <w:rPr>
                <w:rFonts w:ascii="Verdana" w:hAnsi="Verdana"/>
              </w:rPr>
              <w:t>a</w:t>
            </w:r>
            <w:r w:rsidR="00DA46D0" w:rsidRPr="00FD21C4">
              <w:rPr>
                <w:rFonts w:ascii="Verdana" w:hAnsi="Verdana"/>
              </w:rPr>
              <w:t xml:space="preserve"> ‘best guess’ forecast</w:t>
            </w:r>
            <w:r>
              <w:rPr>
                <w:rFonts w:ascii="Verdana" w:hAnsi="Verdana"/>
              </w:rPr>
              <w:t>.</w:t>
            </w:r>
          </w:p>
        </w:tc>
      </w:tr>
    </w:tbl>
    <w:p w14:paraId="4B6EB04A" w14:textId="706DD58E" w:rsidR="00DA46D0" w:rsidRDefault="00DA46D0"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DA46D0" w:rsidRPr="002F412F" w14:paraId="5B9CEB22" w14:textId="77777777" w:rsidTr="00793870">
        <w:tc>
          <w:tcPr>
            <w:tcW w:w="534" w:type="dxa"/>
          </w:tcPr>
          <w:p w14:paraId="70FD16A2" w14:textId="77777777" w:rsidR="00DA46D0" w:rsidRPr="002F412F" w:rsidRDefault="00DA46D0" w:rsidP="000542FE">
            <w:pPr>
              <w:rPr>
                <w:rFonts w:ascii="Verdana" w:hAnsi="Verdana"/>
                <w:color w:val="FF0000"/>
              </w:rPr>
            </w:pPr>
          </w:p>
        </w:tc>
        <w:tc>
          <w:tcPr>
            <w:tcW w:w="312" w:type="dxa"/>
          </w:tcPr>
          <w:p w14:paraId="385A4BB9" w14:textId="77777777" w:rsidR="00DA46D0" w:rsidRPr="002F412F" w:rsidRDefault="00DA46D0" w:rsidP="000542FE">
            <w:pPr>
              <w:rPr>
                <w:rFonts w:ascii="Verdana" w:hAnsi="Verdana"/>
                <w:b/>
              </w:rPr>
            </w:pPr>
            <w:r w:rsidRPr="002F412F">
              <w:rPr>
                <w:rFonts w:ascii="Verdana" w:hAnsi="Verdana"/>
                <w:b/>
              </w:rPr>
              <w:t>.</w:t>
            </w:r>
          </w:p>
        </w:tc>
        <w:tc>
          <w:tcPr>
            <w:tcW w:w="8618" w:type="dxa"/>
          </w:tcPr>
          <w:p w14:paraId="7B17D03F" w14:textId="366BC425" w:rsidR="00DA46D0" w:rsidRPr="002F412F" w:rsidRDefault="00FD21C4" w:rsidP="000542FE">
            <w:pPr>
              <w:pStyle w:val="NoSpacing"/>
            </w:pPr>
            <w:r>
              <w:t>current projections, which should be treated with caution at this point of the year, suggest that:</w:t>
            </w:r>
          </w:p>
        </w:tc>
      </w:tr>
    </w:tbl>
    <w:p w14:paraId="40A69E26" w14:textId="530DF17E" w:rsidR="00DA46D0" w:rsidRDefault="00DA46D0" w:rsidP="00626F4B">
      <w:pPr>
        <w:rPr>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352"/>
      </w:tblGrid>
      <w:tr w:rsidR="00FD21C4" w:rsidRPr="00FD21C4" w14:paraId="1540CA34" w14:textId="77777777" w:rsidTr="001E635C">
        <w:tc>
          <w:tcPr>
            <w:tcW w:w="561" w:type="dxa"/>
          </w:tcPr>
          <w:p w14:paraId="1B5264A8" w14:textId="7FB13A2A" w:rsidR="00FD21C4" w:rsidRPr="00256D9C" w:rsidRDefault="001E635C" w:rsidP="000542FE">
            <w:pPr>
              <w:rPr>
                <w:rFonts w:ascii="Verdana" w:hAnsi="Verdana"/>
              </w:rPr>
            </w:pPr>
            <w:r>
              <w:rPr>
                <w:rFonts w:ascii="Verdana" w:hAnsi="Verdana"/>
              </w:rPr>
              <w:t xml:space="preserve"> </w:t>
            </w:r>
          </w:p>
        </w:tc>
        <w:tc>
          <w:tcPr>
            <w:tcW w:w="284" w:type="dxa"/>
          </w:tcPr>
          <w:p w14:paraId="42EC34B2" w14:textId="77777777" w:rsidR="00FD21C4" w:rsidRPr="00256D9C" w:rsidRDefault="00FD21C4" w:rsidP="000542FE">
            <w:pPr>
              <w:rPr>
                <w:rFonts w:ascii="Verdana" w:hAnsi="Verdana"/>
              </w:rPr>
            </w:pPr>
          </w:p>
        </w:tc>
        <w:tc>
          <w:tcPr>
            <w:tcW w:w="296" w:type="dxa"/>
          </w:tcPr>
          <w:p w14:paraId="7AAE6092" w14:textId="77777777" w:rsidR="00FD21C4" w:rsidRPr="00256D9C" w:rsidRDefault="00FD21C4" w:rsidP="000542FE">
            <w:pPr>
              <w:rPr>
                <w:rFonts w:ascii="Verdana" w:hAnsi="Verdana"/>
                <w:b/>
                <w:bCs/>
              </w:rPr>
            </w:pPr>
            <w:r w:rsidRPr="00256D9C">
              <w:rPr>
                <w:rFonts w:ascii="Verdana" w:hAnsi="Verdana"/>
                <w:b/>
                <w:bCs/>
              </w:rPr>
              <w:t>.</w:t>
            </w:r>
          </w:p>
        </w:tc>
        <w:tc>
          <w:tcPr>
            <w:tcW w:w="8352" w:type="dxa"/>
          </w:tcPr>
          <w:p w14:paraId="6E63F0BF" w14:textId="7585F7B2" w:rsidR="00FD21C4" w:rsidRPr="00256D9C" w:rsidRDefault="00FD21C4" w:rsidP="000542FE">
            <w:pPr>
              <w:rPr>
                <w:rFonts w:ascii="Verdana" w:hAnsi="Verdana"/>
              </w:rPr>
            </w:pPr>
            <w:r w:rsidRPr="00256D9C">
              <w:rPr>
                <w:rFonts w:ascii="Verdana" w:hAnsi="Verdana"/>
              </w:rPr>
              <w:t>a low range model assuming a conservative 10% decrease in relation to offers (tracking the current position) and a decline in the high offer to enrolment percentage achieved last year (i.e. a partial reversal of the positive trend seen over the last 18 months</w:t>
            </w:r>
            <w:r w:rsidR="00256D9C" w:rsidRPr="00256D9C">
              <w:rPr>
                <w:rFonts w:ascii="Verdana" w:hAnsi="Verdana"/>
              </w:rPr>
              <w:t>) yields a total enrolment of 1,973 students (1,717 at the census date);</w:t>
            </w:r>
          </w:p>
          <w:p w14:paraId="55360A95" w14:textId="32E3F612" w:rsidR="00256D9C" w:rsidRPr="00256D9C" w:rsidRDefault="00256D9C" w:rsidP="000542FE">
            <w:pPr>
              <w:rPr>
                <w:rFonts w:ascii="Verdana" w:hAnsi="Verdana"/>
              </w:rPr>
            </w:pPr>
          </w:p>
        </w:tc>
      </w:tr>
      <w:tr w:rsidR="00FD21C4" w:rsidRPr="00FD21C4" w14:paraId="0EC0CB51" w14:textId="77777777" w:rsidTr="001E635C">
        <w:tc>
          <w:tcPr>
            <w:tcW w:w="561" w:type="dxa"/>
          </w:tcPr>
          <w:p w14:paraId="7199D8B9" w14:textId="77777777" w:rsidR="00FD21C4" w:rsidRPr="00FD21C4" w:rsidRDefault="00FD21C4" w:rsidP="000542FE">
            <w:pPr>
              <w:rPr>
                <w:rFonts w:ascii="Verdana" w:hAnsi="Verdana"/>
              </w:rPr>
            </w:pPr>
          </w:p>
        </w:tc>
        <w:tc>
          <w:tcPr>
            <w:tcW w:w="284" w:type="dxa"/>
          </w:tcPr>
          <w:p w14:paraId="361C1503" w14:textId="77777777" w:rsidR="00FD21C4" w:rsidRPr="00FD21C4" w:rsidRDefault="00FD21C4" w:rsidP="000542FE">
            <w:pPr>
              <w:rPr>
                <w:rFonts w:ascii="Verdana" w:hAnsi="Verdana"/>
              </w:rPr>
            </w:pPr>
          </w:p>
        </w:tc>
        <w:tc>
          <w:tcPr>
            <w:tcW w:w="296" w:type="dxa"/>
          </w:tcPr>
          <w:p w14:paraId="6E5EEBD4" w14:textId="77777777" w:rsidR="00FD21C4" w:rsidRPr="00FD21C4" w:rsidRDefault="00FD21C4" w:rsidP="000542FE">
            <w:pPr>
              <w:rPr>
                <w:rFonts w:ascii="Verdana" w:hAnsi="Verdana"/>
                <w:b/>
                <w:bCs/>
              </w:rPr>
            </w:pPr>
            <w:r w:rsidRPr="00FD21C4">
              <w:rPr>
                <w:rFonts w:ascii="Verdana" w:hAnsi="Verdana"/>
                <w:b/>
                <w:bCs/>
              </w:rPr>
              <w:t>.</w:t>
            </w:r>
          </w:p>
        </w:tc>
        <w:tc>
          <w:tcPr>
            <w:tcW w:w="8352" w:type="dxa"/>
          </w:tcPr>
          <w:p w14:paraId="7BFB6DA3" w14:textId="767BFB08" w:rsidR="00256D9C" w:rsidRPr="00256D9C" w:rsidRDefault="00256D9C" w:rsidP="00256D9C">
            <w:pPr>
              <w:rPr>
                <w:rFonts w:ascii="Verdana" w:hAnsi="Verdana"/>
              </w:rPr>
            </w:pPr>
            <w:r w:rsidRPr="00256D9C">
              <w:rPr>
                <w:rFonts w:ascii="Verdana" w:hAnsi="Verdana"/>
              </w:rPr>
              <w:t xml:space="preserve">a best guess’ model assuming offers remain consistent with the last academic year and that the improvements in the offer to enrolment percentage achieved last year are sustained yields a total enrolment of 2,104 students (1,820 at the census date); </w:t>
            </w:r>
          </w:p>
          <w:p w14:paraId="2EE47DF4" w14:textId="77A9F88D" w:rsidR="00FD21C4" w:rsidRPr="00256D9C" w:rsidRDefault="00FD21C4" w:rsidP="000542FE">
            <w:pPr>
              <w:rPr>
                <w:rFonts w:ascii="Verdana" w:hAnsi="Verdana"/>
              </w:rPr>
            </w:pPr>
          </w:p>
        </w:tc>
      </w:tr>
      <w:tr w:rsidR="00FD21C4" w:rsidRPr="00FD21C4" w14:paraId="463DAC27" w14:textId="77777777" w:rsidTr="001E635C">
        <w:tc>
          <w:tcPr>
            <w:tcW w:w="561" w:type="dxa"/>
          </w:tcPr>
          <w:p w14:paraId="15449574" w14:textId="77777777" w:rsidR="00FD21C4" w:rsidRPr="00FD21C4" w:rsidRDefault="00FD21C4" w:rsidP="000542FE">
            <w:pPr>
              <w:rPr>
                <w:rFonts w:ascii="Verdana" w:hAnsi="Verdana"/>
              </w:rPr>
            </w:pPr>
          </w:p>
        </w:tc>
        <w:tc>
          <w:tcPr>
            <w:tcW w:w="284" w:type="dxa"/>
          </w:tcPr>
          <w:p w14:paraId="0326515F" w14:textId="77777777" w:rsidR="00FD21C4" w:rsidRPr="00FD21C4" w:rsidRDefault="00FD21C4" w:rsidP="000542FE">
            <w:pPr>
              <w:rPr>
                <w:rFonts w:ascii="Verdana" w:hAnsi="Verdana"/>
              </w:rPr>
            </w:pPr>
          </w:p>
        </w:tc>
        <w:tc>
          <w:tcPr>
            <w:tcW w:w="296" w:type="dxa"/>
          </w:tcPr>
          <w:p w14:paraId="700C4EE6" w14:textId="77777777" w:rsidR="00FD21C4" w:rsidRPr="00FD21C4" w:rsidRDefault="00FD21C4" w:rsidP="000542FE">
            <w:pPr>
              <w:rPr>
                <w:rFonts w:ascii="Verdana" w:hAnsi="Verdana"/>
                <w:b/>
                <w:bCs/>
              </w:rPr>
            </w:pPr>
            <w:r w:rsidRPr="00FD21C4">
              <w:rPr>
                <w:rFonts w:ascii="Verdana" w:hAnsi="Verdana"/>
                <w:b/>
                <w:bCs/>
              </w:rPr>
              <w:t>.</w:t>
            </w:r>
          </w:p>
        </w:tc>
        <w:tc>
          <w:tcPr>
            <w:tcW w:w="8352" w:type="dxa"/>
          </w:tcPr>
          <w:p w14:paraId="72328258" w14:textId="77777777" w:rsidR="00256D9C" w:rsidRPr="00256D9C" w:rsidRDefault="00256D9C" w:rsidP="000542FE">
            <w:pPr>
              <w:rPr>
                <w:rFonts w:ascii="Verdana" w:hAnsi="Verdana"/>
                <w:i/>
                <w:iCs/>
              </w:rPr>
            </w:pPr>
            <w:r w:rsidRPr="00256D9C">
              <w:rPr>
                <w:rFonts w:ascii="Verdana" w:hAnsi="Verdana"/>
              </w:rPr>
              <w:t xml:space="preserve">an upper range model tracking more closely to the upturn in applications experienced to date yields a total enrolment of 2,193 students (1,920 at the census date); </w:t>
            </w:r>
            <w:r w:rsidRPr="00256D9C">
              <w:rPr>
                <w:rFonts w:ascii="Verdana" w:hAnsi="Verdana"/>
                <w:i/>
                <w:iCs/>
              </w:rPr>
              <w:t>but</w:t>
            </w:r>
          </w:p>
          <w:p w14:paraId="233BBFE6" w14:textId="3DBF627F" w:rsidR="00FD21C4" w:rsidRPr="00256D9C" w:rsidRDefault="00256D9C" w:rsidP="000542FE">
            <w:pPr>
              <w:rPr>
                <w:rFonts w:ascii="Verdana" w:hAnsi="Verdana"/>
              </w:rPr>
            </w:pPr>
            <w:r w:rsidRPr="00256D9C">
              <w:rPr>
                <w:rFonts w:ascii="Verdana" w:hAnsi="Verdana"/>
              </w:rPr>
              <w:t xml:space="preserve"> </w:t>
            </w:r>
          </w:p>
        </w:tc>
      </w:tr>
      <w:tr w:rsidR="00FD21C4" w:rsidRPr="00FD21C4" w14:paraId="0FAE82EE" w14:textId="77777777" w:rsidTr="001E635C">
        <w:tc>
          <w:tcPr>
            <w:tcW w:w="561" w:type="dxa"/>
          </w:tcPr>
          <w:p w14:paraId="6BC29562" w14:textId="77777777" w:rsidR="00FD21C4" w:rsidRPr="00FD21C4" w:rsidRDefault="00FD21C4" w:rsidP="000542FE">
            <w:pPr>
              <w:rPr>
                <w:rFonts w:ascii="Verdana" w:hAnsi="Verdana"/>
              </w:rPr>
            </w:pPr>
          </w:p>
        </w:tc>
        <w:tc>
          <w:tcPr>
            <w:tcW w:w="284" w:type="dxa"/>
          </w:tcPr>
          <w:p w14:paraId="22E9B468" w14:textId="77777777" w:rsidR="00FD21C4" w:rsidRPr="00FD21C4" w:rsidRDefault="00FD21C4" w:rsidP="000542FE">
            <w:pPr>
              <w:rPr>
                <w:rFonts w:ascii="Verdana" w:hAnsi="Verdana"/>
              </w:rPr>
            </w:pPr>
          </w:p>
        </w:tc>
        <w:tc>
          <w:tcPr>
            <w:tcW w:w="296" w:type="dxa"/>
          </w:tcPr>
          <w:p w14:paraId="7ABAD185" w14:textId="222746C4" w:rsidR="00FD21C4" w:rsidRPr="00FD21C4" w:rsidRDefault="00FD21C4" w:rsidP="000542FE">
            <w:pPr>
              <w:rPr>
                <w:rFonts w:ascii="Verdana" w:hAnsi="Verdana"/>
                <w:b/>
                <w:bCs/>
              </w:rPr>
            </w:pPr>
            <w:r>
              <w:rPr>
                <w:rFonts w:ascii="Verdana" w:hAnsi="Verdana"/>
                <w:b/>
                <w:bCs/>
              </w:rPr>
              <w:t>.</w:t>
            </w:r>
          </w:p>
        </w:tc>
        <w:tc>
          <w:tcPr>
            <w:tcW w:w="8352" w:type="dxa"/>
          </w:tcPr>
          <w:p w14:paraId="6C04D00D" w14:textId="4E71B0F5" w:rsidR="00FD21C4" w:rsidRPr="00256D9C" w:rsidRDefault="00256D9C" w:rsidP="000542FE">
            <w:pPr>
              <w:rPr>
                <w:rFonts w:ascii="Verdana" w:hAnsi="Verdana"/>
              </w:rPr>
            </w:pPr>
            <w:r>
              <w:rPr>
                <w:rFonts w:ascii="Verdana" w:hAnsi="Verdana"/>
              </w:rPr>
              <w:t>the College is</w:t>
            </w:r>
            <w:r w:rsidRPr="00256D9C">
              <w:rPr>
                <w:rFonts w:ascii="Verdana" w:hAnsi="Verdana"/>
              </w:rPr>
              <w:t xml:space="preserve"> likely to set a maximum capacity of 1</w:t>
            </w:r>
            <w:r>
              <w:rPr>
                <w:rFonts w:ascii="Verdana" w:hAnsi="Verdana"/>
              </w:rPr>
              <w:t>,</w:t>
            </w:r>
            <w:r w:rsidRPr="00256D9C">
              <w:rPr>
                <w:rFonts w:ascii="Verdana" w:hAnsi="Verdana"/>
              </w:rPr>
              <w:t xml:space="preserve">820 students </w:t>
            </w:r>
            <w:r>
              <w:rPr>
                <w:rFonts w:ascii="Verdana" w:hAnsi="Verdana"/>
              </w:rPr>
              <w:t xml:space="preserve">so as </w:t>
            </w:r>
            <w:r w:rsidRPr="00256D9C">
              <w:rPr>
                <w:rFonts w:ascii="Verdana" w:hAnsi="Verdana"/>
              </w:rPr>
              <w:t xml:space="preserve">to manage growth effectively </w:t>
            </w:r>
            <w:r>
              <w:rPr>
                <w:rFonts w:ascii="Verdana" w:hAnsi="Verdana"/>
              </w:rPr>
              <w:t>and t</w:t>
            </w:r>
            <w:r w:rsidRPr="00256D9C">
              <w:rPr>
                <w:rFonts w:ascii="Verdana" w:hAnsi="Verdana"/>
              </w:rPr>
              <w:t>herefore, if applications, offers and enrolments track the upper range model</w:t>
            </w:r>
            <w:r>
              <w:rPr>
                <w:rFonts w:ascii="Verdana" w:hAnsi="Verdana"/>
              </w:rPr>
              <w:t>,</w:t>
            </w:r>
            <w:r w:rsidRPr="00256D9C">
              <w:rPr>
                <w:rFonts w:ascii="Verdana" w:hAnsi="Verdana"/>
              </w:rPr>
              <w:t xml:space="preserve"> would implement measures</w:t>
            </w:r>
            <w:r>
              <w:rPr>
                <w:rFonts w:ascii="Verdana" w:hAnsi="Verdana"/>
              </w:rPr>
              <w:t xml:space="preserve"> to set limits on recruitment</w:t>
            </w:r>
            <w:r w:rsidRPr="00256D9C">
              <w:rPr>
                <w:rFonts w:ascii="Verdana" w:hAnsi="Verdana"/>
              </w:rPr>
              <w:t xml:space="preserve"> </w:t>
            </w:r>
            <w:r>
              <w:rPr>
                <w:rFonts w:ascii="Verdana" w:hAnsi="Verdana"/>
              </w:rPr>
              <w:t xml:space="preserve">(e.g. by </w:t>
            </w:r>
            <w:r w:rsidRPr="00256D9C">
              <w:rPr>
                <w:rFonts w:ascii="Verdana" w:hAnsi="Verdana"/>
              </w:rPr>
              <w:t>further reducing the number of ‘walk-in’ applicants at enrolment</w:t>
            </w:r>
            <w:r>
              <w:rPr>
                <w:rFonts w:ascii="Verdana" w:hAnsi="Verdana"/>
              </w:rPr>
              <w:t>).</w:t>
            </w:r>
          </w:p>
        </w:tc>
      </w:tr>
    </w:tbl>
    <w:p w14:paraId="27A5F13E" w14:textId="77777777" w:rsidR="00DA46D0" w:rsidRDefault="00DA46D0"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907B7" w:rsidRPr="00DE7BC1" w14:paraId="61F256C5" w14:textId="77777777" w:rsidTr="001E635C">
        <w:tc>
          <w:tcPr>
            <w:tcW w:w="529" w:type="dxa"/>
            <w:shd w:val="clear" w:color="auto" w:fill="auto"/>
            <w:tcMar>
              <w:top w:w="0" w:type="dxa"/>
              <w:left w:w="108" w:type="dxa"/>
              <w:bottom w:w="0" w:type="dxa"/>
              <w:right w:w="108" w:type="dxa"/>
            </w:tcMar>
          </w:tcPr>
          <w:p w14:paraId="6FCA137A" w14:textId="77777777" w:rsidR="006907B7" w:rsidRPr="005D6214" w:rsidRDefault="006907B7" w:rsidP="00400C02">
            <w:pPr>
              <w:pStyle w:val="NoSpacing"/>
              <w:rPr>
                <w:b/>
                <w:color w:val="FF0000"/>
              </w:rPr>
            </w:pPr>
          </w:p>
        </w:tc>
        <w:tc>
          <w:tcPr>
            <w:tcW w:w="8935" w:type="dxa"/>
            <w:shd w:val="clear" w:color="auto" w:fill="auto"/>
            <w:tcMar>
              <w:top w:w="0" w:type="dxa"/>
              <w:left w:w="108" w:type="dxa"/>
              <w:bottom w:w="0" w:type="dxa"/>
              <w:right w:w="108" w:type="dxa"/>
            </w:tcMar>
          </w:tcPr>
          <w:p w14:paraId="00BACDBC" w14:textId="06EDE300" w:rsidR="006907B7" w:rsidRDefault="00B852DC" w:rsidP="00B852DC">
            <w:pPr>
              <w:rPr>
                <w:rFonts w:ascii="Verdana" w:hAnsi="Verdana"/>
                <w:color w:val="000000"/>
              </w:rPr>
            </w:pPr>
            <w:r>
              <w:rPr>
                <w:rFonts w:ascii="Verdana" w:hAnsi="Verdana"/>
                <w:color w:val="000000"/>
              </w:rPr>
              <w:t>It was noted</w:t>
            </w:r>
            <w:r w:rsidRPr="00B852DC">
              <w:rPr>
                <w:rFonts w:ascii="Verdana" w:hAnsi="Verdana"/>
                <w:color w:val="000000"/>
              </w:rPr>
              <w:t xml:space="preserve"> that the new application system </w:t>
            </w:r>
            <w:r>
              <w:rPr>
                <w:rFonts w:ascii="Verdana" w:hAnsi="Verdana"/>
                <w:color w:val="000000"/>
              </w:rPr>
              <w:t>consists of</w:t>
            </w:r>
            <w:r w:rsidRPr="00B852DC">
              <w:rPr>
                <w:rFonts w:ascii="Verdana" w:hAnsi="Verdana"/>
                <w:color w:val="000000"/>
              </w:rPr>
              <w:t xml:space="preserve"> two </w:t>
            </w:r>
            <w:r>
              <w:rPr>
                <w:rFonts w:ascii="Verdana" w:hAnsi="Verdana"/>
                <w:color w:val="000000"/>
              </w:rPr>
              <w:t>stage</w:t>
            </w:r>
            <w:r w:rsidRPr="00B852DC">
              <w:rPr>
                <w:rFonts w:ascii="Verdana" w:hAnsi="Verdana"/>
                <w:color w:val="000000"/>
              </w:rPr>
              <w:t xml:space="preserve">s - an initial brief application and a second fuller one. </w:t>
            </w:r>
            <w:r>
              <w:rPr>
                <w:rFonts w:ascii="Verdana" w:hAnsi="Verdana"/>
                <w:color w:val="000000"/>
              </w:rPr>
              <w:t xml:space="preserve"> </w:t>
            </w:r>
            <w:r w:rsidRPr="00B852DC">
              <w:rPr>
                <w:rFonts w:ascii="Verdana" w:hAnsi="Verdana"/>
                <w:color w:val="000000"/>
              </w:rPr>
              <w:t xml:space="preserve">Following questions from governors, SLT </w:t>
            </w:r>
            <w:r>
              <w:rPr>
                <w:rFonts w:ascii="Verdana" w:hAnsi="Verdana"/>
                <w:color w:val="000000"/>
              </w:rPr>
              <w:t>accepted</w:t>
            </w:r>
            <w:r w:rsidRPr="00B852DC">
              <w:rPr>
                <w:rFonts w:ascii="Verdana" w:hAnsi="Verdana"/>
                <w:color w:val="000000"/>
              </w:rPr>
              <w:t xml:space="preserve"> that some </w:t>
            </w:r>
            <w:r w:rsidR="00793870">
              <w:rPr>
                <w:rFonts w:ascii="Verdana" w:hAnsi="Verdana"/>
                <w:color w:val="000000"/>
              </w:rPr>
              <w:t xml:space="preserve">applicants </w:t>
            </w:r>
            <w:r>
              <w:rPr>
                <w:rFonts w:ascii="Verdana" w:hAnsi="Verdana"/>
                <w:color w:val="000000"/>
              </w:rPr>
              <w:t>in the year to date</w:t>
            </w:r>
            <w:r w:rsidRPr="00B852DC">
              <w:rPr>
                <w:rFonts w:ascii="Verdana" w:hAnsi="Verdana"/>
                <w:color w:val="000000"/>
              </w:rPr>
              <w:t xml:space="preserve"> </w:t>
            </w:r>
            <w:r>
              <w:rPr>
                <w:rFonts w:ascii="Verdana" w:hAnsi="Verdana"/>
                <w:color w:val="000000"/>
              </w:rPr>
              <w:t>may be</w:t>
            </w:r>
            <w:r w:rsidRPr="00B852DC">
              <w:rPr>
                <w:rFonts w:ascii="Verdana" w:hAnsi="Verdana"/>
                <w:color w:val="000000"/>
              </w:rPr>
              <w:t xml:space="preserve"> less committed to the </w:t>
            </w:r>
            <w:r>
              <w:rPr>
                <w:rFonts w:ascii="Verdana" w:hAnsi="Verdana"/>
                <w:color w:val="000000"/>
              </w:rPr>
              <w:t>C</w:t>
            </w:r>
            <w:r w:rsidRPr="00B852DC">
              <w:rPr>
                <w:rFonts w:ascii="Verdana" w:hAnsi="Verdana"/>
                <w:color w:val="000000"/>
              </w:rPr>
              <w:t xml:space="preserve">ollege than </w:t>
            </w:r>
            <w:r>
              <w:rPr>
                <w:rFonts w:ascii="Verdana" w:hAnsi="Verdana"/>
                <w:color w:val="000000"/>
              </w:rPr>
              <w:t>if they had gone</w:t>
            </w:r>
            <w:r w:rsidRPr="00B852DC">
              <w:rPr>
                <w:rFonts w:ascii="Verdana" w:hAnsi="Verdana"/>
                <w:color w:val="000000"/>
              </w:rPr>
              <w:t xml:space="preserve"> through the more onerous</w:t>
            </w:r>
            <w:r>
              <w:rPr>
                <w:rFonts w:ascii="Verdana" w:hAnsi="Verdana"/>
                <w:color w:val="000000"/>
              </w:rPr>
              <w:t>, second stage</w:t>
            </w:r>
            <w:r w:rsidRPr="00B852DC">
              <w:rPr>
                <w:rFonts w:ascii="Verdana" w:hAnsi="Verdana"/>
                <w:color w:val="000000"/>
              </w:rPr>
              <w:t xml:space="preserve"> procedure.</w:t>
            </w:r>
            <w:r>
              <w:rPr>
                <w:rFonts w:ascii="Verdana" w:hAnsi="Verdana"/>
                <w:color w:val="000000"/>
              </w:rPr>
              <w:t xml:space="preserve"> </w:t>
            </w:r>
            <w:r w:rsidRPr="00B852DC">
              <w:rPr>
                <w:rFonts w:ascii="Verdana" w:hAnsi="Verdana"/>
                <w:color w:val="000000"/>
              </w:rPr>
              <w:t xml:space="preserve"> However, </w:t>
            </w:r>
            <w:r>
              <w:rPr>
                <w:rFonts w:ascii="Verdana" w:hAnsi="Verdana"/>
                <w:color w:val="000000"/>
              </w:rPr>
              <w:t>given</w:t>
            </w:r>
            <w:r w:rsidRPr="00B852DC">
              <w:rPr>
                <w:rFonts w:ascii="Verdana" w:hAnsi="Verdana"/>
                <w:color w:val="000000"/>
              </w:rPr>
              <w:t xml:space="preserve"> </w:t>
            </w:r>
            <w:r>
              <w:rPr>
                <w:rFonts w:ascii="Verdana" w:hAnsi="Verdana"/>
                <w:color w:val="000000"/>
              </w:rPr>
              <w:t>t</w:t>
            </w:r>
            <w:r w:rsidRPr="00B852DC">
              <w:rPr>
                <w:rFonts w:ascii="Verdana" w:hAnsi="Verdana"/>
                <w:color w:val="000000"/>
              </w:rPr>
              <w:t xml:space="preserve">hat the </w:t>
            </w:r>
            <w:r>
              <w:rPr>
                <w:rFonts w:ascii="Verdana" w:hAnsi="Verdana"/>
                <w:color w:val="000000"/>
              </w:rPr>
              <w:t>C</w:t>
            </w:r>
            <w:r w:rsidRPr="00B852DC">
              <w:rPr>
                <w:rFonts w:ascii="Verdana" w:hAnsi="Verdana"/>
                <w:color w:val="000000"/>
              </w:rPr>
              <w:t>ollege w</w:t>
            </w:r>
            <w:r>
              <w:rPr>
                <w:rFonts w:ascii="Verdana" w:hAnsi="Verdana"/>
                <w:color w:val="000000"/>
              </w:rPr>
              <w:t>ill</w:t>
            </w:r>
            <w:r w:rsidRPr="00B852DC">
              <w:rPr>
                <w:rFonts w:ascii="Verdana" w:hAnsi="Verdana"/>
                <w:color w:val="000000"/>
              </w:rPr>
              <w:t xml:space="preserve"> be re</w:t>
            </w:r>
            <w:r>
              <w:rPr>
                <w:rFonts w:ascii="Verdana" w:hAnsi="Verdana"/>
                <w:color w:val="000000"/>
              </w:rPr>
              <w:t>-</w:t>
            </w:r>
            <w:r w:rsidRPr="00B852DC">
              <w:rPr>
                <w:rFonts w:ascii="Verdana" w:hAnsi="Verdana"/>
                <w:color w:val="000000"/>
              </w:rPr>
              <w:t xml:space="preserve">contacting </w:t>
            </w:r>
            <w:r w:rsidR="00793870">
              <w:rPr>
                <w:rFonts w:ascii="Verdana" w:hAnsi="Verdana"/>
                <w:color w:val="000000"/>
              </w:rPr>
              <w:t>first-stage applicant</w:t>
            </w:r>
            <w:r w:rsidRPr="00B852DC">
              <w:rPr>
                <w:rFonts w:ascii="Verdana" w:hAnsi="Verdana"/>
                <w:color w:val="000000"/>
              </w:rPr>
              <w:t xml:space="preserve">s </w:t>
            </w:r>
            <w:r>
              <w:rPr>
                <w:rFonts w:ascii="Verdana" w:hAnsi="Verdana"/>
                <w:color w:val="000000"/>
              </w:rPr>
              <w:t>in connection with the second stage, this</w:t>
            </w:r>
            <w:r w:rsidRPr="00B852DC">
              <w:rPr>
                <w:rFonts w:ascii="Verdana" w:hAnsi="Verdana"/>
                <w:color w:val="000000"/>
              </w:rPr>
              <w:t xml:space="preserve"> might</w:t>
            </w:r>
            <w:r>
              <w:rPr>
                <w:rFonts w:ascii="Verdana" w:hAnsi="Verdana"/>
                <w:color w:val="000000"/>
              </w:rPr>
              <w:t xml:space="preserve"> secure greater </w:t>
            </w:r>
            <w:r w:rsidR="00793870">
              <w:rPr>
                <w:rFonts w:ascii="Verdana" w:hAnsi="Verdana"/>
                <w:color w:val="000000"/>
              </w:rPr>
              <w:t xml:space="preserve">levels of </w:t>
            </w:r>
            <w:r>
              <w:rPr>
                <w:rFonts w:ascii="Verdana" w:hAnsi="Verdana"/>
                <w:color w:val="000000"/>
              </w:rPr>
              <w:t>commitment, thereb</w:t>
            </w:r>
            <w:r w:rsidRPr="00B852DC">
              <w:rPr>
                <w:rFonts w:ascii="Verdana" w:hAnsi="Verdana"/>
                <w:color w:val="000000"/>
              </w:rPr>
              <w:t xml:space="preserve">y helping to </w:t>
            </w:r>
            <w:r>
              <w:rPr>
                <w:rFonts w:ascii="Verdana" w:hAnsi="Verdana"/>
                <w:color w:val="000000"/>
              </w:rPr>
              <w:t>increase the reliability of</w:t>
            </w:r>
            <w:r w:rsidRPr="00B852DC">
              <w:rPr>
                <w:rFonts w:ascii="Verdana" w:hAnsi="Verdana"/>
                <w:color w:val="000000"/>
              </w:rPr>
              <w:t xml:space="preserve"> recruitment pr</w:t>
            </w:r>
            <w:r>
              <w:rPr>
                <w:rFonts w:ascii="Verdana" w:hAnsi="Verdana"/>
                <w:color w:val="000000"/>
              </w:rPr>
              <w:t>oje</w:t>
            </w:r>
            <w:r w:rsidRPr="00B852DC">
              <w:rPr>
                <w:rFonts w:ascii="Verdana" w:hAnsi="Verdana"/>
                <w:color w:val="000000"/>
              </w:rPr>
              <w:t>ctions</w:t>
            </w:r>
            <w:r>
              <w:rPr>
                <w:rFonts w:ascii="Verdana" w:hAnsi="Verdana"/>
                <w:color w:val="000000"/>
              </w:rPr>
              <w:t>.</w:t>
            </w:r>
          </w:p>
          <w:p w14:paraId="78D6B8F6" w14:textId="77777777" w:rsidR="00B852DC" w:rsidRDefault="00B852DC" w:rsidP="00B852DC">
            <w:pPr>
              <w:rPr>
                <w:rFonts w:ascii="Verdana" w:hAnsi="Verdana"/>
              </w:rPr>
            </w:pPr>
          </w:p>
          <w:p w14:paraId="3FA3BC61" w14:textId="77777777" w:rsidR="00B852DC" w:rsidRDefault="00C56348" w:rsidP="00B852DC">
            <w:pPr>
              <w:rPr>
                <w:rFonts w:ascii="Verdana" w:hAnsi="Verdana"/>
              </w:rPr>
            </w:pPr>
            <w:r>
              <w:rPr>
                <w:rFonts w:ascii="Verdana" w:hAnsi="Verdana"/>
              </w:rPr>
              <w:t>The following questions from members received the responses shown:</w:t>
            </w:r>
          </w:p>
          <w:p w14:paraId="23DB4F3F" w14:textId="77777777" w:rsidR="00793870" w:rsidRDefault="00793870" w:rsidP="00B852DC">
            <w:pPr>
              <w:rPr>
                <w:rFonts w:ascii="Verdana" w:hAnsi="Verdana"/>
              </w:rPr>
            </w:pPr>
          </w:p>
          <w:p w14:paraId="27CE79EA" w14:textId="2513D4C8" w:rsidR="00793870" w:rsidRPr="00793870" w:rsidRDefault="00793870" w:rsidP="00793870">
            <w:pPr>
              <w:pStyle w:val="xmsoplaintext"/>
              <w:rPr>
                <w:rFonts w:ascii="Verdana" w:hAnsi="Verdana" w:cs="Times New Roman"/>
                <w:i/>
                <w:iCs/>
              </w:rPr>
            </w:pPr>
            <w:r w:rsidRPr="00793870">
              <w:rPr>
                <w:rFonts w:ascii="Verdana" w:hAnsi="Verdana" w:cs="Times New Roman"/>
                <w:i/>
                <w:iCs/>
              </w:rPr>
              <w:t xml:space="preserve">Why have </w:t>
            </w:r>
            <w:r w:rsidR="004F5AD0">
              <w:rPr>
                <w:rFonts w:ascii="Verdana" w:hAnsi="Verdana" w:cs="Times New Roman"/>
                <w:i/>
                <w:iCs/>
              </w:rPr>
              <w:t>fewer</w:t>
            </w:r>
            <w:r w:rsidRPr="00793870">
              <w:rPr>
                <w:rFonts w:ascii="Verdana" w:hAnsi="Verdana" w:cs="Times New Roman"/>
                <w:i/>
                <w:iCs/>
              </w:rPr>
              <w:t xml:space="preserve"> Gifted &amp; Talented students attended assessment centres this year?</w:t>
            </w:r>
          </w:p>
          <w:p w14:paraId="0C735FA9" w14:textId="77777777" w:rsidR="00793870" w:rsidRDefault="00793870" w:rsidP="00B852DC">
            <w:pPr>
              <w:rPr>
                <w:rFonts w:ascii="Verdana" w:hAnsi="Verdana"/>
              </w:rPr>
            </w:pPr>
          </w:p>
          <w:p w14:paraId="4961D58A" w14:textId="77777777" w:rsidR="00793870" w:rsidRPr="00C56348" w:rsidRDefault="00793870" w:rsidP="00793870">
            <w:pPr>
              <w:pStyle w:val="xmsoplaintext"/>
              <w:rPr>
                <w:rFonts w:ascii="Verdana" w:hAnsi="Verdana" w:cs="Times New Roman"/>
              </w:rPr>
            </w:pPr>
            <w:r>
              <w:rPr>
                <w:rFonts w:ascii="Verdana" w:hAnsi="Verdana" w:cs="Times New Roman"/>
              </w:rPr>
              <w:t>Because of a s</w:t>
            </w:r>
            <w:r w:rsidRPr="00C56348">
              <w:rPr>
                <w:rFonts w:ascii="Verdana" w:hAnsi="Verdana" w:cs="Times New Roman"/>
              </w:rPr>
              <w:t>lightly re-arranged timescale focusing on June taster sessions, and more students in general attending advice evenings – where high performing students are more likely to attend.</w:t>
            </w:r>
          </w:p>
          <w:p w14:paraId="77CF9986" w14:textId="722D7976" w:rsidR="00793870" w:rsidRDefault="00793870" w:rsidP="00793870">
            <w:pPr>
              <w:pStyle w:val="xmsoplaintext"/>
              <w:rPr>
                <w:rFonts w:ascii="Verdana" w:hAnsi="Verdana" w:cs="Times New Roman"/>
              </w:rPr>
            </w:pPr>
            <w:r w:rsidRPr="00C56348">
              <w:rPr>
                <w:rFonts w:ascii="Verdana" w:hAnsi="Verdana" w:cs="Times New Roman"/>
              </w:rPr>
              <w:t> </w:t>
            </w:r>
          </w:p>
          <w:p w14:paraId="559991A3" w14:textId="7F74F819" w:rsidR="001E635C" w:rsidRDefault="001E635C" w:rsidP="00793870">
            <w:pPr>
              <w:pStyle w:val="xmsoplaintext"/>
              <w:rPr>
                <w:rFonts w:ascii="Verdana" w:hAnsi="Verdana" w:cs="Times New Roman"/>
              </w:rPr>
            </w:pPr>
          </w:p>
          <w:p w14:paraId="455EC7C6" w14:textId="6022D7F6" w:rsidR="001E635C" w:rsidRDefault="001E635C" w:rsidP="00793870">
            <w:pPr>
              <w:pStyle w:val="xmsoplaintext"/>
              <w:rPr>
                <w:rFonts w:ascii="Verdana" w:hAnsi="Verdana" w:cs="Times New Roman"/>
              </w:rPr>
            </w:pPr>
          </w:p>
          <w:p w14:paraId="33C3DAD3" w14:textId="77777777" w:rsidR="001E635C" w:rsidRPr="00C56348" w:rsidRDefault="001E635C" w:rsidP="00793870">
            <w:pPr>
              <w:pStyle w:val="xmsoplaintext"/>
              <w:rPr>
                <w:rFonts w:ascii="Verdana" w:hAnsi="Verdana" w:cs="Times New Roman"/>
              </w:rPr>
            </w:pPr>
          </w:p>
          <w:p w14:paraId="4358B43B" w14:textId="77777777" w:rsidR="00793870" w:rsidRPr="00793870" w:rsidRDefault="00793870" w:rsidP="00793870">
            <w:pPr>
              <w:pStyle w:val="xmsoplaintext"/>
              <w:rPr>
                <w:rFonts w:ascii="Verdana" w:hAnsi="Verdana" w:cs="Times New Roman"/>
                <w:i/>
                <w:iCs/>
              </w:rPr>
            </w:pPr>
            <w:r w:rsidRPr="00793870">
              <w:rPr>
                <w:rFonts w:ascii="Verdana" w:hAnsi="Verdana" w:cs="Times New Roman"/>
                <w:i/>
                <w:iCs/>
              </w:rPr>
              <w:lastRenderedPageBreak/>
              <w:t xml:space="preserve">How much information are students asked to complete on the new application form? </w:t>
            </w:r>
          </w:p>
          <w:p w14:paraId="55D5F86F" w14:textId="0D37E2B1" w:rsidR="00793870" w:rsidRDefault="00793870" w:rsidP="00B852DC">
            <w:pPr>
              <w:rPr>
                <w:rFonts w:ascii="Verdana" w:hAnsi="Verdana"/>
              </w:rPr>
            </w:pPr>
          </w:p>
          <w:p w14:paraId="0C4A2314" w14:textId="77777777" w:rsidR="00793870" w:rsidRPr="00C56348" w:rsidRDefault="00793870" w:rsidP="00793870">
            <w:pPr>
              <w:pStyle w:val="xmsoplaintext"/>
              <w:rPr>
                <w:rFonts w:ascii="Verdana" w:hAnsi="Verdana" w:cs="Times New Roman"/>
              </w:rPr>
            </w:pPr>
            <w:r w:rsidRPr="00C56348">
              <w:rPr>
                <w:rFonts w:ascii="Verdana" w:hAnsi="Verdana" w:cs="Times New Roman"/>
              </w:rPr>
              <w:t>Enough for the basics – Special Educational Needs, school (</w:t>
            </w:r>
            <w:r>
              <w:rPr>
                <w:rFonts w:ascii="Verdana" w:hAnsi="Verdana" w:cs="Times New Roman"/>
              </w:rPr>
              <w:t>for</w:t>
            </w:r>
            <w:r w:rsidRPr="00C56348">
              <w:rPr>
                <w:rFonts w:ascii="Verdana" w:hAnsi="Verdana" w:cs="Times New Roman"/>
              </w:rPr>
              <w:t xml:space="preserve"> a reference) and criminal convictions etc</w:t>
            </w:r>
            <w:r>
              <w:rPr>
                <w:rFonts w:ascii="Verdana" w:hAnsi="Verdana" w:cs="Times New Roman"/>
              </w:rPr>
              <w:t>.</w:t>
            </w:r>
            <w:r w:rsidRPr="00C56348">
              <w:rPr>
                <w:rFonts w:ascii="Verdana" w:hAnsi="Verdana" w:cs="Times New Roman"/>
              </w:rPr>
              <w:t xml:space="preserve"> </w:t>
            </w:r>
            <w:r>
              <w:rPr>
                <w:rFonts w:ascii="Verdana" w:hAnsi="Verdana" w:cs="Times New Roman"/>
              </w:rPr>
              <w:t>P</w:t>
            </w:r>
            <w:r w:rsidRPr="00C56348">
              <w:rPr>
                <w:rFonts w:ascii="Verdana" w:hAnsi="Verdana" w:cs="Times New Roman"/>
              </w:rPr>
              <w:t>rospective students will also need to complete a second part prior to enrolment</w:t>
            </w:r>
            <w:r>
              <w:rPr>
                <w:rFonts w:ascii="Verdana" w:hAnsi="Verdana" w:cs="Times New Roman"/>
              </w:rPr>
              <w:t xml:space="preserve">, which </w:t>
            </w:r>
            <w:r w:rsidRPr="00C56348">
              <w:rPr>
                <w:rFonts w:ascii="Verdana" w:hAnsi="Verdana" w:cs="Times New Roman"/>
              </w:rPr>
              <w:t>may require additional resourcing at enrolment.</w:t>
            </w:r>
          </w:p>
          <w:p w14:paraId="34005859" w14:textId="77777777" w:rsidR="00793870" w:rsidRDefault="00793870" w:rsidP="00B852DC">
            <w:pPr>
              <w:rPr>
                <w:rFonts w:ascii="Verdana" w:hAnsi="Verdana"/>
              </w:rPr>
            </w:pPr>
          </w:p>
          <w:p w14:paraId="1DD2E75D" w14:textId="3F0291C8" w:rsidR="00793870" w:rsidRDefault="00793870" w:rsidP="00793870">
            <w:pPr>
              <w:pStyle w:val="xmsoplaintext"/>
              <w:rPr>
                <w:rFonts w:ascii="Verdana" w:hAnsi="Verdana" w:cs="Times New Roman"/>
                <w:i/>
                <w:iCs/>
              </w:rPr>
            </w:pPr>
            <w:r w:rsidRPr="00793870">
              <w:rPr>
                <w:rFonts w:ascii="Verdana" w:hAnsi="Verdana" w:cs="Times New Roman"/>
                <w:i/>
                <w:iCs/>
              </w:rPr>
              <w:t>Will students be turned away after the 1,820 is met?</w:t>
            </w:r>
          </w:p>
          <w:p w14:paraId="609F8BEF" w14:textId="63C82757" w:rsidR="00793870" w:rsidRDefault="00793870" w:rsidP="00793870">
            <w:pPr>
              <w:pStyle w:val="xmsoplaintext"/>
              <w:rPr>
                <w:rFonts w:ascii="Verdana" w:hAnsi="Verdana" w:cs="Times New Roman"/>
                <w:i/>
                <w:iCs/>
              </w:rPr>
            </w:pPr>
          </w:p>
          <w:p w14:paraId="736D5C4A" w14:textId="77777777" w:rsidR="00793870" w:rsidRPr="00C56348" w:rsidRDefault="00793870" w:rsidP="00793870">
            <w:pPr>
              <w:pStyle w:val="xmsoplaintext"/>
              <w:rPr>
                <w:rFonts w:ascii="Verdana" w:hAnsi="Verdana" w:cs="Times New Roman"/>
              </w:rPr>
            </w:pPr>
            <w:r w:rsidRPr="00C56348">
              <w:rPr>
                <w:rFonts w:ascii="Verdana" w:hAnsi="Verdana" w:cs="Times New Roman"/>
              </w:rPr>
              <w:t>1</w:t>
            </w:r>
            <w:r>
              <w:rPr>
                <w:rFonts w:ascii="Verdana" w:hAnsi="Verdana" w:cs="Times New Roman"/>
              </w:rPr>
              <w:t>,</w:t>
            </w:r>
            <w:r w:rsidRPr="00C56348">
              <w:rPr>
                <w:rFonts w:ascii="Verdana" w:hAnsi="Verdana" w:cs="Times New Roman"/>
              </w:rPr>
              <w:t>820 is a target, and a cap for planning purposes. There is a quality imperative to closing enrolment early, but some flexibility will be retained for individual cases, such as newly arrived students.</w:t>
            </w:r>
          </w:p>
          <w:p w14:paraId="109A1471" w14:textId="457A6D5B" w:rsidR="00793870" w:rsidRDefault="00793870" w:rsidP="00793870">
            <w:pPr>
              <w:pStyle w:val="xmsoplaintext"/>
              <w:rPr>
                <w:rFonts w:ascii="Verdana" w:hAnsi="Verdana" w:cs="Times New Roman"/>
                <w:i/>
                <w:iCs/>
              </w:rPr>
            </w:pPr>
          </w:p>
          <w:p w14:paraId="04C21A3F" w14:textId="59C884DF" w:rsidR="00793870" w:rsidRPr="00793870" w:rsidRDefault="00793870" w:rsidP="00793870">
            <w:pPr>
              <w:pStyle w:val="xmsoplaintext"/>
              <w:rPr>
                <w:rFonts w:ascii="Verdana" w:hAnsi="Verdana"/>
                <w:i/>
                <w:iCs/>
              </w:rPr>
            </w:pPr>
            <w:r w:rsidRPr="00793870">
              <w:rPr>
                <w:rFonts w:ascii="Verdana" w:hAnsi="Verdana" w:cs="Times New Roman"/>
                <w:i/>
                <w:iCs/>
              </w:rPr>
              <w:t>Is the College</w:t>
            </w:r>
            <w:r w:rsidRPr="00793870">
              <w:rPr>
                <w:rFonts w:ascii="Verdana" w:hAnsi="Verdana"/>
                <w:i/>
                <w:iCs/>
              </w:rPr>
              <w:t xml:space="preserve"> still facing challenges with some secondary schools?</w:t>
            </w:r>
          </w:p>
          <w:p w14:paraId="7C9E4B81" w14:textId="77777777" w:rsidR="00793870" w:rsidRPr="00793870" w:rsidRDefault="00793870" w:rsidP="00793870">
            <w:pPr>
              <w:pStyle w:val="xmsoplaintext"/>
              <w:rPr>
                <w:rFonts w:ascii="Verdana" w:hAnsi="Verdana" w:cs="Times New Roman"/>
                <w:i/>
                <w:iCs/>
              </w:rPr>
            </w:pPr>
          </w:p>
          <w:p w14:paraId="706782E2" w14:textId="77777777" w:rsidR="00793870" w:rsidRDefault="00793870" w:rsidP="00B852DC">
            <w:pPr>
              <w:rPr>
                <w:rFonts w:ascii="Verdana" w:hAnsi="Verdana"/>
              </w:rPr>
            </w:pPr>
            <w:r w:rsidRPr="00793870">
              <w:rPr>
                <w:rFonts w:ascii="Verdana" w:hAnsi="Verdana"/>
              </w:rPr>
              <w:t>Yes, with some secondary schools who have sixth forms, although there is some very positive progress in the case of some schools who now see the College as a preferred local college partner.</w:t>
            </w:r>
          </w:p>
          <w:p w14:paraId="4F0BBB05" w14:textId="77777777" w:rsidR="00793870" w:rsidRDefault="00793870" w:rsidP="00B852DC">
            <w:pPr>
              <w:rPr>
                <w:rFonts w:ascii="Verdana" w:hAnsi="Verdana"/>
              </w:rPr>
            </w:pPr>
          </w:p>
          <w:p w14:paraId="51165CC8" w14:textId="1012843D" w:rsidR="00793870" w:rsidRPr="00DE7BC1" w:rsidRDefault="00793870" w:rsidP="00B852DC">
            <w:pPr>
              <w:rPr>
                <w:rFonts w:ascii="Verdana" w:hAnsi="Verdana"/>
              </w:rPr>
            </w:pPr>
            <w:r>
              <w:rPr>
                <w:rFonts w:ascii="Verdana" w:hAnsi="Verdana"/>
              </w:rPr>
              <w:t>It was also clarified</w:t>
            </w:r>
            <w:r w:rsidRPr="00C56348">
              <w:rPr>
                <w:rFonts w:ascii="Verdana" w:hAnsi="Verdana"/>
              </w:rPr>
              <w:t xml:space="preserve"> that ‘69’ school events/fairs</w:t>
            </w:r>
            <w:r>
              <w:rPr>
                <w:rFonts w:ascii="Verdana" w:hAnsi="Verdana"/>
              </w:rPr>
              <w:t xml:space="preserve"> quoted in the report</w:t>
            </w:r>
            <w:r w:rsidRPr="00C56348">
              <w:rPr>
                <w:rFonts w:ascii="Verdana" w:hAnsi="Verdana"/>
              </w:rPr>
              <w:t xml:space="preserve"> should </w:t>
            </w:r>
            <w:r>
              <w:rPr>
                <w:rFonts w:ascii="Verdana" w:hAnsi="Verdana"/>
              </w:rPr>
              <w:t>read</w:t>
            </w:r>
            <w:r w:rsidRPr="00C56348">
              <w:rPr>
                <w:rFonts w:ascii="Verdana" w:hAnsi="Verdana"/>
              </w:rPr>
              <w:t xml:space="preserve"> </w:t>
            </w:r>
            <w:r>
              <w:rPr>
                <w:rFonts w:ascii="Verdana" w:hAnsi="Verdana"/>
              </w:rPr>
              <w:t>“</w:t>
            </w:r>
            <w:r w:rsidRPr="00C56348">
              <w:rPr>
                <w:rFonts w:ascii="Verdana" w:hAnsi="Verdana"/>
              </w:rPr>
              <w:t>54</w:t>
            </w:r>
            <w:r>
              <w:rPr>
                <w:rFonts w:ascii="Verdana" w:hAnsi="Verdana"/>
              </w:rPr>
              <w:t>”</w:t>
            </w:r>
            <w:r w:rsidRPr="00C56348">
              <w:rPr>
                <w:rFonts w:ascii="Verdana" w:hAnsi="Verdana"/>
              </w:rPr>
              <w:t>.</w:t>
            </w:r>
          </w:p>
        </w:tc>
      </w:tr>
    </w:tbl>
    <w:p w14:paraId="27D530CB" w14:textId="77777777" w:rsidR="00C56348" w:rsidRDefault="00C56348"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3D77F2" w:rsidRPr="006D35B2" w14:paraId="6CCC62F6" w14:textId="77777777" w:rsidTr="001E635C">
        <w:tc>
          <w:tcPr>
            <w:tcW w:w="529" w:type="dxa"/>
            <w:shd w:val="clear" w:color="auto" w:fill="auto"/>
            <w:tcMar>
              <w:top w:w="0" w:type="dxa"/>
              <w:left w:w="108" w:type="dxa"/>
              <w:bottom w:w="0" w:type="dxa"/>
              <w:right w:w="108" w:type="dxa"/>
            </w:tcMar>
          </w:tcPr>
          <w:p w14:paraId="18099991" w14:textId="4626AD86" w:rsidR="003D77F2" w:rsidRDefault="003054D2" w:rsidP="005363B3">
            <w:pPr>
              <w:pStyle w:val="NoSpacing"/>
              <w:rPr>
                <w:b/>
              </w:rPr>
            </w:pPr>
            <w:r>
              <w:rPr>
                <w:b/>
              </w:rPr>
              <w:t>7</w:t>
            </w:r>
          </w:p>
        </w:tc>
        <w:tc>
          <w:tcPr>
            <w:tcW w:w="8935" w:type="dxa"/>
            <w:shd w:val="clear" w:color="auto" w:fill="auto"/>
            <w:tcMar>
              <w:top w:w="0" w:type="dxa"/>
              <w:left w:w="108" w:type="dxa"/>
              <w:bottom w:w="0" w:type="dxa"/>
              <w:right w:w="108" w:type="dxa"/>
            </w:tcMar>
          </w:tcPr>
          <w:p w14:paraId="16A768F3" w14:textId="77777777" w:rsidR="0062120B" w:rsidRDefault="0062120B" w:rsidP="0062120B">
            <w:pPr>
              <w:rPr>
                <w:rFonts w:ascii="Verdana" w:hAnsi="Verdana"/>
                <w:b/>
              </w:rPr>
            </w:pPr>
            <w:r>
              <w:rPr>
                <w:rFonts w:ascii="Verdana" w:hAnsi="Verdana"/>
                <w:b/>
              </w:rPr>
              <w:t>Employer Links and Work Experience</w:t>
            </w:r>
          </w:p>
          <w:p w14:paraId="3132AC26" w14:textId="77777777" w:rsidR="003D77F2" w:rsidRDefault="003D77F2" w:rsidP="005363B3">
            <w:pPr>
              <w:rPr>
                <w:rFonts w:ascii="Verdana" w:hAnsi="Verdana"/>
              </w:rPr>
            </w:pPr>
          </w:p>
          <w:p w14:paraId="6E9025F3" w14:textId="5103BA5D" w:rsidR="003D77F2" w:rsidRDefault="00E46EBF" w:rsidP="005363B3">
            <w:pPr>
              <w:rPr>
                <w:rFonts w:ascii="Verdana" w:hAnsi="Verdana"/>
              </w:rPr>
            </w:pPr>
            <w:r>
              <w:rPr>
                <w:rFonts w:ascii="Verdana" w:hAnsi="Verdana"/>
              </w:rPr>
              <w:t xml:space="preserve">A </w:t>
            </w:r>
            <w:r w:rsidR="00262997">
              <w:rPr>
                <w:rFonts w:ascii="Verdana" w:hAnsi="Verdana"/>
              </w:rPr>
              <w:t>dashboard format</w:t>
            </w:r>
            <w:r w:rsidR="00006F58">
              <w:rPr>
                <w:rFonts w:ascii="Verdana" w:hAnsi="Verdana"/>
              </w:rPr>
              <w:t xml:space="preserve"> </w:t>
            </w:r>
            <w:r>
              <w:rPr>
                <w:rFonts w:ascii="Verdana" w:hAnsi="Verdana"/>
              </w:rPr>
              <w:t>prepared by the Vice-Principal</w:t>
            </w:r>
            <w:r w:rsidR="00B8738C">
              <w:rPr>
                <w:rFonts w:ascii="Verdana" w:hAnsi="Verdana"/>
              </w:rPr>
              <w:t xml:space="preserve"> (</w:t>
            </w:r>
            <w:r w:rsidRPr="00FE7EDC">
              <w:rPr>
                <w:rFonts w:ascii="Verdana" w:hAnsi="Verdana"/>
              </w:rPr>
              <w:t>Student S</w:t>
            </w:r>
            <w:r>
              <w:rPr>
                <w:rFonts w:ascii="Verdana" w:hAnsi="Verdana"/>
              </w:rPr>
              <w:t>ervices and Recruitment</w:t>
            </w:r>
            <w:r w:rsidR="00006F58">
              <w:rPr>
                <w:rFonts w:ascii="Verdana" w:hAnsi="Verdana"/>
              </w:rPr>
              <w:t>)</w:t>
            </w:r>
            <w:r w:rsidR="00351B4C">
              <w:rPr>
                <w:rFonts w:ascii="Verdana" w:hAnsi="Verdana"/>
              </w:rPr>
              <w:t xml:space="preserve"> was received and considered</w:t>
            </w:r>
            <w:r>
              <w:rPr>
                <w:rFonts w:ascii="Verdana" w:hAnsi="Verdana"/>
              </w:rPr>
              <w:t>.</w:t>
            </w:r>
          </w:p>
          <w:p w14:paraId="17115D33" w14:textId="10313816" w:rsidR="0007175E" w:rsidRDefault="0007175E" w:rsidP="005363B3">
            <w:pPr>
              <w:rPr>
                <w:rFonts w:ascii="Verdana" w:hAnsi="Verdana"/>
              </w:rPr>
            </w:pPr>
          </w:p>
          <w:p w14:paraId="11E72D95" w14:textId="4F5A1E46" w:rsidR="00524ADC" w:rsidRPr="006D35B2" w:rsidRDefault="006941A4" w:rsidP="005363B3">
            <w:pPr>
              <w:rPr>
                <w:rFonts w:ascii="Verdana" w:hAnsi="Verdana"/>
              </w:rPr>
            </w:pPr>
            <w:r>
              <w:rPr>
                <w:rFonts w:ascii="Verdana" w:hAnsi="Verdana"/>
              </w:rPr>
              <w:t>Definitions</w:t>
            </w:r>
            <w:r w:rsidR="003054D2">
              <w:rPr>
                <w:rFonts w:ascii="Verdana" w:hAnsi="Verdana"/>
              </w:rPr>
              <w:t xml:space="preserve"> of the following categories w</w:t>
            </w:r>
            <w:r>
              <w:rPr>
                <w:rFonts w:ascii="Verdana" w:hAnsi="Verdana"/>
              </w:rPr>
              <w:t>ere</w:t>
            </w:r>
            <w:r w:rsidR="003054D2">
              <w:rPr>
                <w:rFonts w:ascii="Verdana" w:hAnsi="Verdana"/>
              </w:rPr>
              <w:t xml:space="preserve"> noted:</w:t>
            </w:r>
          </w:p>
        </w:tc>
      </w:tr>
    </w:tbl>
    <w:p w14:paraId="2A9DA3F0" w14:textId="25DCCCD2" w:rsidR="008735B4" w:rsidRDefault="008735B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304F77" w14:paraId="572497EA" w14:textId="77777777" w:rsidTr="001E635C">
        <w:tc>
          <w:tcPr>
            <w:tcW w:w="534" w:type="dxa"/>
          </w:tcPr>
          <w:p w14:paraId="4B02C386" w14:textId="77777777" w:rsidR="00304F77" w:rsidRPr="002F412F" w:rsidRDefault="00304F77" w:rsidP="005363B3">
            <w:pPr>
              <w:rPr>
                <w:rFonts w:ascii="Verdana" w:hAnsi="Verdana"/>
                <w:color w:val="FF0000"/>
              </w:rPr>
            </w:pPr>
          </w:p>
        </w:tc>
        <w:tc>
          <w:tcPr>
            <w:tcW w:w="312" w:type="dxa"/>
          </w:tcPr>
          <w:p w14:paraId="4413D16F" w14:textId="77777777" w:rsidR="00304F77" w:rsidRDefault="00304F77" w:rsidP="005363B3">
            <w:pPr>
              <w:rPr>
                <w:rFonts w:ascii="Verdana" w:hAnsi="Verdana"/>
                <w:b/>
              </w:rPr>
            </w:pPr>
            <w:r>
              <w:rPr>
                <w:rFonts w:ascii="Verdana" w:hAnsi="Verdana"/>
                <w:b/>
              </w:rPr>
              <w:t>.</w:t>
            </w:r>
          </w:p>
        </w:tc>
        <w:tc>
          <w:tcPr>
            <w:tcW w:w="8618" w:type="dxa"/>
          </w:tcPr>
          <w:p w14:paraId="12B5C6ED" w14:textId="2BC472C2" w:rsidR="00304F77" w:rsidRPr="00304F77" w:rsidRDefault="00304F77" w:rsidP="00304F77">
            <w:pPr>
              <w:rPr>
                <w:rFonts w:ascii="Verdana" w:hAnsi="Verdana" w:cstheme="minorHAnsi"/>
              </w:rPr>
            </w:pPr>
            <w:r w:rsidRPr="00304F77">
              <w:rPr>
                <w:rStyle w:val="Heading4Char"/>
                <w:rFonts w:ascii="Verdana" w:hAnsi="Verdana"/>
                <w:b/>
                <w:color w:val="auto"/>
              </w:rPr>
              <w:t>Work Experience (WEX) Placements</w:t>
            </w:r>
            <w:r>
              <w:rPr>
                <w:rStyle w:val="Heading4Char"/>
                <w:rFonts w:ascii="Verdana" w:hAnsi="Verdana"/>
                <w:i w:val="0"/>
                <w:color w:val="auto"/>
              </w:rPr>
              <w:t xml:space="preserve"> - s</w:t>
            </w:r>
            <w:r w:rsidRPr="00304F77">
              <w:rPr>
                <w:rFonts w:ascii="Verdana" w:hAnsi="Verdana" w:cstheme="minorHAnsi"/>
              </w:rPr>
              <w:t xml:space="preserve">tudents based off-site with an external employer for at least </w:t>
            </w:r>
            <w:r w:rsidR="00235370">
              <w:rPr>
                <w:rFonts w:ascii="Verdana" w:hAnsi="Verdana" w:cstheme="minorHAnsi"/>
              </w:rPr>
              <w:t>five</w:t>
            </w:r>
            <w:r w:rsidRPr="00304F77">
              <w:rPr>
                <w:rFonts w:ascii="Verdana" w:hAnsi="Verdana" w:cstheme="minorHAnsi"/>
              </w:rPr>
              <w:t xml:space="preserve"> working days</w:t>
            </w:r>
            <w:r>
              <w:rPr>
                <w:rFonts w:ascii="Verdana" w:hAnsi="Verdana" w:cstheme="minorHAnsi"/>
              </w:rPr>
              <w:t xml:space="preserve">, engaged in work </w:t>
            </w:r>
            <w:r w:rsidRPr="00304F77">
              <w:rPr>
                <w:rFonts w:ascii="Verdana" w:hAnsi="Verdana" w:cstheme="minorHAnsi"/>
              </w:rPr>
              <w:t>relevant to the</w:t>
            </w:r>
            <w:r>
              <w:rPr>
                <w:rFonts w:ascii="Verdana" w:hAnsi="Verdana" w:cstheme="minorHAnsi"/>
              </w:rPr>
              <w:t>ir</w:t>
            </w:r>
            <w:r w:rsidRPr="00304F77">
              <w:rPr>
                <w:rFonts w:ascii="Verdana" w:hAnsi="Verdana" w:cstheme="minorHAnsi"/>
              </w:rPr>
              <w:t xml:space="preserve"> pathway, study programme or career aspirations.</w:t>
            </w:r>
          </w:p>
          <w:p w14:paraId="47565C6D" w14:textId="735D9511" w:rsidR="00304F77" w:rsidRPr="00304F77" w:rsidRDefault="00304F77" w:rsidP="005363B3">
            <w:pPr>
              <w:pStyle w:val="NoSpacing"/>
            </w:pPr>
          </w:p>
        </w:tc>
      </w:tr>
      <w:tr w:rsidR="00304F77" w14:paraId="2E5F3F42" w14:textId="77777777" w:rsidTr="001E635C">
        <w:tc>
          <w:tcPr>
            <w:tcW w:w="534" w:type="dxa"/>
          </w:tcPr>
          <w:p w14:paraId="37BFD317" w14:textId="77777777" w:rsidR="00304F77" w:rsidRPr="002F412F" w:rsidRDefault="00304F77" w:rsidP="005363B3">
            <w:pPr>
              <w:rPr>
                <w:rFonts w:ascii="Verdana" w:hAnsi="Verdana"/>
                <w:color w:val="FF0000"/>
              </w:rPr>
            </w:pPr>
          </w:p>
        </w:tc>
        <w:tc>
          <w:tcPr>
            <w:tcW w:w="312" w:type="dxa"/>
          </w:tcPr>
          <w:p w14:paraId="5511EEFF" w14:textId="574632BF" w:rsidR="00304F77" w:rsidRDefault="00304F77" w:rsidP="005363B3">
            <w:pPr>
              <w:rPr>
                <w:rFonts w:ascii="Verdana" w:hAnsi="Verdana"/>
                <w:b/>
              </w:rPr>
            </w:pPr>
            <w:r>
              <w:rPr>
                <w:rFonts w:ascii="Verdana" w:hAnsi="Verdana"/>
                <w:b/>
              </w:rPr>
              <w:t>.</w:t>
            </w:r>
          </w:p>
        </w:tc>
        <w:tc>
          <w:tcPr>
            <w:tcW w:w="8618" w:type="dxa"/>
          </w:tcPr>
          <w:p w14:paraId="55E6B4F1" w14:textId="57ABD72A" w:rsidR="00304F77" w:rsidRPr="00304F77" w:rsidRDefault="00304F77" w:rsidP="00304F77">
            <w:pPr>
              <w:rPr>
                <w:rFonts w:ascii="Verdana" w:hAnsi="Verdana" w:cstheme="minorHAnsi"/>
              </w:rPr>
            </w:pPr>
            <w:r w:rsidRPr="00304F77">
              <w:rPr>
                <w:rStyle w:val="Heading4Char"/>
                <w:rFonts w:ascii="Verdana" w:hAnsi="Verdana"/>
                <w:b/>
                <w:color w:val="auto"/>
              </w:rPr>
              <w:t>Industry Placements</w:t>
            </w:r>
            <w:r>
              <w:rPr>
                <w:rStyle w:val="Heading4Char"/>
                <w:rFonts w:ascii="Verdana" w:hAnsi="Verdana"/>
                <w:i w:val="0"/>
                <w:color w:val="auto"/>
              </w:rPr>
              <w:t xml:space="preserve"> </w:t>
            </w:r>
            <w:r w:rsidRPr="00304F77">
              <w:rPr>
                <w:rStyle w:val="Heading4Char"/>
                <w:rFonts w:ascii="Verdana" w:hAnsi="Verdana"/>
              </w:rPr>
              <w:t xml:space="preserve">- </w:t>
            </w:r>
            <w:r>
              <w:rPr>
                <w:rStyle w:val="Heading4Char"/>
                <w:rFonts w:ascii="Verdana" w:hAnsi="Verdana"/>
              </w:rPr>
              <w:t>v</w:t>
            </w:r>
            <w:r w:rsidRPr="00304F77">
              <w:rPr>
                <w:rFonts w:ascii="Verdana" w:hAnsi="Verdana" w:cstheme="minorHAnsi"/>
              </w:rPr>
              <w:t xml:space="preserve">ocational students based off-site with an external employer for at least </w:t>
            </w:r>
            <w:r w:rsidR="00235370">
              <w:rPr>
                <w:rFonts w:ascii="Verdana" w:hAnsi="Verdana" w:cstheme="minorHAnsi"/>
              </w:rPr>
              <w:t>forty-five</w:t>
            </w:r>
            <w:r w:rsidRPr="00304F77">
              <w:rPr>
                <w:rFonts w:ascii="Verdana" w:hAnsi="Verdana" w:cstheme="minorHAnsi"/>
              </w:rPr>
              <w:t xml:space="preserve"> days</w:t>
            </w:r>
            <w:r>
              <w:rPr>
                <w:rFonts w:cstheme="minorHAnsi"/>
              </w:rPr>
              <w:t xml:space="preserve">, </w:t>
            </w:r>
            <w:r>
              <w:rPr>
                <w:rFonts w:ascii="Verdana" w:hAnsi="Verdana" w:cstheme="minorHAnsi"/>
              </w:rPr>
              <w:t xml:space="preserve">engaged in work </w:t>
            </w:r>
            <w:r w:rsidRPr="00304F77">
              <w:rPr>
                <w:rFonts w:ascii="Verdana" w:hAnsi="Verdana" w:cstheme="minorHAnsi"/>
              </w:rPr>
              <w:t>relevant to the</w:t>
            </w:r>
            <w:r>
              <w:rPr>
                <w:rFonts w:ascii="Verdana" w:hAnsi="Verdana" w:cstheme="minorHAnsi"/>
              </w:rPr>
              <w:t>ir</w:t>
            </w:r>
            <w:r w:rsidRPr="00304F77">
              <w:rPr>
                <w:rFonts w:ascii="Verdana" w:hAnsi="Verdana" w:cstheme="minorHAnsi"/>
              </w:rPr>
              <w:t xml:space="preserve"> pathway, study programme or career aspirations.</w:t>
            </w:r>
          </w:p>
          <w:p w14:paraId="2C0A9E14" w14:textId="2FD74ED4" w:rsidR="00304F77" w:rsidRPr="00304F77" w:rsidRDefault="00304F77" w:rsidP="005363B3">
            <w:pPr>
              <w:pStyle w:val="NoSpacing"/>
            </w:pPr>
          </w:p>
        </w:tc>
      </w:tr>
      <w:tr w:rsidR="00304F77" w14:paraId="711F735B" w14:textId="77777777" w:rsidTr="001E635C">
        <w:tc>
          <w:tcPr>
            <w:tcW w:w="534" w:type="dxa"/>
          </w:tcPr>
          <w:p w14:paraId="549C5F7A" w14:textId="77777777" w:rsidR="00304F77" w:rsidRPr="002F412F" w:rsidRDefault="00304F77" w:rsidP="005363B3">
            <w:pPr>
              <w:rPr>
                <w:rFonts w:ascii="Verdana" w:hAnsi="Verdana"/>
                <w:color w:val="FF0000"/>
              </w:rPr>
            </w:pPr>
          </w:p>
        </w:tc>
        <w:tc>
          <w:tcPr>
            <w:tcW w:w="312" w:type="dxa"/>
          </w:tcPr>
          <w:p w14:paraId="0E07BAE4" w14:textId="3B159CC8" w:rsidR="00304F77" w:rsidRDefault="00304F77" w:rsidP="005363B3">
            <w:pPr>
              <w:rPr>
                <w:rFonts w:ascii="Verdana" w:hAnsi="Verdana"/>
                <w:b/>
              </w:rPr>
            </w:pPr>
            <w:r>
              <w:rPr>
                <w:rFonts w:ascii="Verdana" w:hAnsi="Verdana"/>
                <w:b/>
              </w:rPr>
              <w:t>.</w:t>
            </w:r>
          </w:p>
        </w:tc>
        <w:tc>
          <w:tcPr>
            <w:tcW w:w="8618" w:type="dxa"/>
          </w:tcPr>
          <w:p w14:paraId="1E986751" w14:textId="52F8B3B1" w:rsidR="00304F77" w:rsidRPr="00304F77" w:rsidRDefault="00304F77" w:rsidP="00304F77">
            <w:pPr>
              <w:rPr>
                <w:rFonts w:ascii="Verdana" w:hAnsi="Verdana" w:cstheme="minorHAnsi"/>
              </w:rPr>
            </w:pPr>
            <w:r w:rsidRPr="00304F77">
              <w:rPr>
                <w:rStyle w:val="Heading4Char"/>
                <w:rFonts w:ascii="Verdana" w:hAnsi="Verdana"/>
                <w:b/>
                <w:color w:val="auto"/>
              </w:rPr>
              <w:t>Work Experience (WEX) Projects</w:t>
            </w:r>
            <w:r>
              <w:rPr>
                <w:rStyle w:val="Heading4Char"/>
                <w:rFonts w:ascii="Verdana" w:hAnsi="Verdana"/>
                <w:i w:val="0"/>
                <w:color w:val="auto"/>
              </w:rPr>
              <w:t xml:space="preserve"> </w:t>
            </w:r>
            <w:r>
              <w:rPr>
                <w:rStyle w:val="Heading4Char"/>
              </w:rPr>
              <w:t xml:space="preserve">- </w:t>
            </w:r>
            <w:r>
              <w:rPr>
                <w:rStyle w:val="Heading4Char"/>
                <w:rFonts w:eastAsia="Calibri"/>
              </w:rPr>
              <w:t>s</w:t>
            </w:r>
            <w:r w:rsidRPr="00304F77">
              <w:rPr>
                <w:rFonts w:ascii="Verdana" w:hAnsi="Verdana" w:cstheme="minorHAnsi"/>
              </w:rPr>
              <w:t>tudents have exposure to the workplace or experience of work with an employer</w:t>
            </w:r>
            <w:r>
              <w:rPr>
                <w:rFonts w:ascii="Verdana" w:hAnsi="Verdana" w:cstheme="minorHAnsi"/>
              </w:rPr>
              <w:t>, i</w:t>
            </w:r>
            <w:r w:rsidRPr="00304F77">
              <w:rPr>
                <w:rFonts w:ascii="Verdana" w:hAnsi="Verdana" w:cstheme="minorHAnsi"/>
              </w:rPr>
              <w:t xml:space="preserve">n </w:t>
            </w:r>
            <w:r>
              <w:rPr>
                <w:rFonts w:ascii="Verdana" w:hAnsi="Verdana" w:cstheme="minorHAnsi"/>
              </w:rPr>
              <w:t>most</w:t>
            </w:r>
            <w:r w:rsidRPr="00304F77">
              <w:rPr>
                <w:rFonts w:ascii="Verdana" w:hAnsi="Verdana" w:cstheme="minorHAnsi"/>
              </w:rPr>
              <w:t xml:space="preserve"> </w:t>
            </w:r>
            <w:r>
              <w:rPr>
                <w:rFonts w:ascii="Verdana" w:hAnsi="Verdana" w:cstheme="minorHAnsi"/>
              </w:rPr>
              <w:t>instanc</w:t>
            </w:r>
            <w:r w:rsidRPr="00304F77">
              <w:rPr>
                <w:rFonts w:ascii="Verdana" w:hAnsi="Verdana" w:cstheme="minorHAnsi"/>
              </w:rPr>
              <w:t xml:space="preserve">es delivered in partnership with the curriculum </w:t>
            </w:r>
            <w:r>
              <w:rPr>
                <w:rFonts w:ascii="Verdana" w:hAnsi="Verdana" w:cstheme="minorHAnsi"/>
              </w:rPr>
              <w:t xml:space="preserve">(i.e. </w:t>
            </w:r>
            <w:r w:rsidRPr="00304F77">
              <w:rPr>
                <w:rFonts w:ascii="Verdana" w:hAnsi="Verdana" w:cstheme="minorHAnsi"/>
              </w:rPr>
              <w:t>students are involved as part of their course</w:t>
            </w:r>
            <w:r>
              <w:rPr>
                <w:rFonts w:ascii="Verdana" w:hAnsi="Verdana" w:cstheme="minorHAnsi"/>
              </w:rPr>
              <w:t>)</w:t>
            </w:r>
            <w:r w:rsidRPr="00304F77">
              <w:rPr>
                <w:rFonts w:ascii="Verdana" w:hAnsi="Verdana" w:cstheme="minorHAnsi"/>
              </w:rPr>
              <w:t xml:space="preserve">. </w:t>
            </w:r>
          </w:p>
          <w:p w14:paraId="59998210" w14:textId="4B052F7B" w:rsidR="00304F77" w:rsidRPr="00304F77" w:rsidRDefault="00304F77" w:rsidP="005363B3">
            <w:pPr>
              <w:pStyle w:val="NoSpacing"/>
            </w:pPr>
          </w:p>
        </w:tc>
      </w:tr>
      <w:tr w:rsidR="00304F77" w14:paraId="5A377960" w14:textId="77777777" w:rsidTr="001E635C">
        <w:tc>
          <w:tcPr>
            <w:tcW w:w="534" w:type="dxa"/>
          </w:tcPr>
          <w:p w14:paraId="051EF9D4" w14:textId="77777777" w:rsidR="00304F77" w:rsidRPr="002F412F" w:rsidRDefault="00304F77" w:rsidP="005363B3">
            <w:pPr>
              <w:rPr>
                <w:rFonts w:ascii="Verdana" w:hAnsi="Verdana"/>
                <w:color w:val="FF0000"/>
              </w:rPr>
            </w:pPr>
          </w:p>
        </w:tc>
        <w:tc>
          <w:tcPr>
            <w:tcW w:w="312" w:type="dxa"/>
          </w:tcPr>
          <w:p w14:paraId="1062E4E1" w14:textId="472C84DD" w:rsidR="00304F77" w:rsidRDefault="00304F77" w:rsidP="005363B3">
            <w:pPr>
              <w:rPr>
                <w:rFonts w:ascii="Verdana" w:hAnsi="Verdana"/>
                <w:b/>
              </w:rPr>
            </w:pPr>
            <w:r>
              <w:rPr>
                <w:rFonts w:ascii="Verdana" w:hAnsi="Verdana"/>
                <w:b/>
              </w:rPr>
              <w:t>.</w:t>
            </w:r>
          </w:p>
        </w:tc>
        <w:tc>
          <w:tcPr>
            <w:tcW w:w="8618" w:type="dxa"/>
          </w:tcPr>
          <w:p w14:paraId="3CF33B51" w14:textId="39D2619C" w:rsidR="009403ED" w:rsidRPr="009403ED" w:rsidRDefault="00304F77" w:rsidP="005363B3">
            <w:pPr>
              <w:pStyle w:val="NoSpacing"/>
              <w:rPr>
                <w:rFonts w:cstheme="minorHAnsi"/>
              </w:rPr>
            </w:pPr>
            <w:r w:rsidRPr="00304F77">
              <w:rPr>
                <w:b/>
                <w:i/>
              </w:rPr>
              <w:t>Talks and Workshops</w:t>
            </w:r>
            <w:r>
              <w:t xml:space="preserve"> - </w:t>
            </w:r>
            <w:r w:rsidR="009403ED" w:rsidRPr="009403ED">
              <w:rPr>
                <w:rFonts w:cstheme="minorHAnsi"/>
              </w:rPr>
              <w:t>one off talk</w:t>
            </w:r>
            <w:r w:rsidR="009403ED">
              <w:rPr>
                <w:rFonts w:cstheme="minorHAnsi"/>
              </w:rPr>
              <w:t>s</w:t>
            </w:r>
            <w:r w:rsidR="009403ED" w:rsidRPr="009403ED">
              <w:rPr>
                <w:rFonts w:cstheme="minorHAnsi"/>
              </w:rPr>
              <w:t>/workshop</w:t>
            </w:r>
            <w:r w:rsidR="009403ED">
              <w:rPr>
                <w:rFonts w:cstheme="minorHAnsi"/>
              </w:rPr>
              <w:t>s</w:t>
            </w:r>
            <w:r w:rsidR="009403ED" w:rsidRPr="009403ED">
              <w:rPr>
                <w:rFonts w:cstheme="minorHAnsi"/>
              </w:rPr>
              <w:t xml:space="preserve"> from employer</w:t>
            </w:r>
            <w:r w:rsidR="009403ED">
              <w:rPr>
                <w:rFonts w:cstheme="minorHAnsi"/>
              </w:rPr>
              <w:t>s</w:t>
            </w:r>
            <w:r w:rsidR="009403ED" w:rsidRPr="009403ED">
              <w:rPr>
                <w:rFonts w:cstheme="minorHAnsi"/>
              </w:rPr>
              <w:t xml:space="preserve"> about their industry/careers/etc</w:t>
            </w:r>
            <w:r w:rsidR="009403ED">
              <w:rPr>
                <w:rFonts w:cstheme="minorHAnsi"/>
              </w:rPr>
              <w:t>.</w:t>
            </w:r>
          </w:p>
        </w:tc>
      </w:tr>
    </w:tbl>
    <w:p w14:paraId="5A23E10C" w14:textId="5CFA4DA8" w:rsidR="00793870" w:rsidRDefault="00793870" w:rsidP="00626F4B">
      <w:pPr>
        <w:rPr>
          <w:color w:val="FF0000"/>
        </w:rPr>
      </w:pPr>
    </w:p>
    <w:p w14:paraId="09821C7F" w14:textId="5F8BEE48" w:rsidR="001E635C" w:rsidRDefault="001E635C" w:rsidP="00626F4B">
      <w:pPr>
        <w:rPr>
          <w:color w:val="FF0000"/>
        </w:rPr>
      </w:pPr>
    </w:p>
    <w:p w14:paraId="16411833" w14:textId="5A4A2069" w:rsidR="001E635C" w:rsidRDefault="001E635C" w:rsidP="00626F4B">
      <w:pPr>
        <w:rPr>
          <w:color w:val="FF0000"/>
        </w:rPr>
      </w:pPr>
    </w:p>
    <w:p w14:paraId="68CA4BB6" w14:textId="33C770B7" w:rsidR="001E635C" w:rsidRDefault="001E635C" w:rsidP="00626F4B">
      <w:pPr>
        <w:rPr>
          <w:color w:val="FF0000"/>
        </w:rPr>
      </w:pPr>
    </w:p>
    <w:p w14:paraId="053BF008" w14:textId="67740452" w:rsidR="001E635C" w:rsidRDefault="001E635C" w:rsidP="00626F4B">
      <w:pPr>
        <w:rPr>
          <w:color w:val="FF0000"/>
        </w:rPr>
      </w:pPr>
    </w:p>
    <w:p w14:paraId="68D6BE70" w14:textId="77777777" w:rsidR="001E635C" w:rsidRDefault="001E635C"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9403ED" w:rsidRPr="00D07924" w14:paraId="6A8F7FBA" w14:textId="77777777" w:rsidTr="001E635C">
        <w:tc>
          <w:tcPr>
            <w:tcW w:w="529" w:type="dxa"/>
            <w:shd w:val="clear" w:color="auto" w:fill="auto"/>
            <w:tcMar>
              <w:top w:w="0" w:type="dxa"/>
              <w:left w:w="108" w:type="dxa"/>
              <w:bottom w:w="0" w:type="dxa"/>
              <w:right w:w="108" w:type="dxa"/>
            </w:tcMar>
          </w:tcPr>
          <w:p w14:paraId="3B6EC2F1" w14:textId="77777777" w:rsidR="009403ED" w:rsidRPr="005D6214" w:rsidRDefault="009403ED" w:rsidP="005363B3">
            <w:pPr>
              <w:pStyle w:val="NoSpacing"/>
              <w:rPr>
                <w:b/>
                <w:color w:val="FF0000"/>
              </w:rPr>
            </w:pPr>
          </w:p>
        </w:tc>
        <w:tc>
          <w:tcPr>
            <w:tcW w:w="8935" w:type="dxa"/>
            <w:shd w:val="clear" w:color="auto" w:fill="auto"/>
            <w:tcMar>
              <w:top w:w="0" w:type="dxa"/>
              <w:left w:w="108" w:type="dxa"/>
              <w:bottom w:w="0" w:type="dxa"/>
              <w:right w:w="108" w:type="dxa"/>
            </w:tcMar>
          </w:tcPr>
          <w:p w14:paraId="23395C1D" w14:textId="43A9AF6D" w:rsidR="009403ED" w:rsidRPr="00D36A46" w:rsidRDefault="009403ED" w:rsidP="005363B3">
            <w:pPr>
              <w:rPr>
                <w:rFonts w:ascii="Verdana" w:hAnsi="Verdana"/>
              </w:rPr>
            </w:pPr>
            <w:r w:rsidRPr="00D36A46">
              <w:rPr>
                <w:rFonts w:ascii="Verdana" w:hAnsi="Verdana"/>
              </w:rPr>
              <w:t xml:space="preserve">College performance </w:t>
            </w:r>
            <w:r w:rsidR="00D36A46">
              <w:rPr>
                <w:rFonts w:ascii="Verdana" w:hAnsi="Verdana"/>
              </w:rPr>
              <w:t>in the year-</w:t>
            </w:r>
            <w:r w:rsidRPr="00D36A46">
              <w:rPr>
                <w:rFonts w:ascii="Verdana" w:hAnsi="Verdana"/>
              </w:rPr>
              <w:t>to</w:t>
            </w:r>
            <w:r w:rsidR="00D36A46">
              <w:rPr>
                <w:rFonts w:ascii="Verdana" w:hAnsi="Verdana"/>
              </w:rPr>
              <w:t>-</w:t>
            </w:r>
            <w:r w:rsidRPr="00D36A46">
              <w:rPr>
                <w:rFonts w:ascii="Verdana" w:hAnsi="Verdana"/>
              </w:rPr>
              <w:t>date</w:t>
            </w:r>
            <w:r w:rsidR="00D36A46" w:rsidRPr="00D36A46">
              <w:rPr>
                <w:rFonts w:ascii="Verdana" w:hAnsi="Verdana"/>
              </w:rPr>
              <w:t xml:space="preserve"> concerning </w:t>
            </w:r>
            <w:r w:rsidR="00D36A46" w:rsidRPr="00D36A46">
              <w:rPr>
                <w:rStyle w:val="Heading4Char"/>
                <w:rFonts w:ascii="Verdana" w:hAnsi="Verdana"/>
                <w:i w:val="0"/>
                <w:iCs w:val="0"/>
                <w:color w:val="auto"/>
              </w:rPr>
              <w:t>Work Experience (WEX) Placements and Industry Placements</w:t>
            </w:r>
            <w:r w:rsidR="00D36A46" w:rsidRPr="00D36A46">
              <w:rPr>
                <w:rStyle w:val="Heading4Char"/>
                <w:rFonts w:ascii="Verdana" w:hAnsi="Verdana"/>
                <w:color w:val="auto"/>
              </w:rPr>
              <w:t xml:space="preserve"> </w:t>
            </w:r>
            <w:r w:rsidRPr="00D36A46">
              <w:rPr>
                <w:rFonts w:ascii="Verdana" w:hAnsi="Verdana"/>
              </w:rPr>
              <w:t>is shown below:</w:t>
            </w:r>
          </w:p>
        </w:tc>
      </w:tr>
    </w:tbl>
    <w:p w14:paraId="198176CE" w14:textId="16B78D16" w:rsidR="007D75D9" w:rsidRDefault="007D75D9"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9403ED" w:rsidRPr="00304F77" w14:paraId="0582671E" w14:textId="77777777" w:rsidTr="001E635C">
        <w:tc>
          <w:tcPr>
            <w:tcW w:w="534" w:type="dxa"/>
          </w:tcPr>
          <w:p w14:paraId="3420503F" w14:textId="77777777" w:rsidR="009403ED" w:rsidRPr="002F412F" w:rsidRDefault="009403ED" w:rsidP="005363B3">
            <w:pPr>
              <w:rPr>
                <w:rFonts w:ascii="Verdana" w:hAnsi="Verdana"/>
                <w:color w:val="FF0000"/>
              </w:rPr>
            </w:pPr>
          </w:p>
        </w:tc>
        <w:tc>
          <w:tcPr>
            <w:tcW w:w="312" w:type="dxa"/>
          </w:tcPr>
          <w:p w14:paraId="56B35CE6" w14:textId="77777777" w:rsidR="009403ED" w:rsidRDefault="009403ED" w:rsidP="005363B3">
            <w:pPr>
              <w:rPr>
                <w:rFonts w:ascii="Verdana" w:hAnsi="Verdana"/>
                <w:b/>
              </w:rPr>
            </w:pPr>
            <w:r>
              <w:rPr>
                <w:rFonts w:ascii="Verdana" w:hAnsi="Verdana"/>
                <w:b/>
              </w:rPr>
              <w:t>.</w:t>
            </w:r>
          </w:p>
        </w:tc>
        <w:tc>
          <w:tcPr>
            <w:tcW w:w="8618" w:type="dxa"/>
          </w:tcPr>
          <w:p w14:paraId="0549DE4F" w14:textId="7B8C739F" w:rsidR="009403ED" w:rsidRDefault="009403ED" w:rsidP="00735B76">
            <w:pPr>
              <w:rPr>
                <w:rFonts w:ascii="Verdana" w:hAnsi="Verdana"/>
              </w:rPr>
            </w:pPr>
            <w:r w:rsidRPr="00304F77">
              <w:rPr>
                <w:rStyle w:val="Heading4Char"/>
                <w:rFonts w:ascii="Verdana" w:hAnsi="Verdana"/>
                <w:b/>
                <w:color w:val="auto"/>
              </w:rPr>
              <w:t>Work Experience (WEX) Placements</w:t>
            </w:r>
            <w:r>
              <w:rPr>
                <w:rStyle w:val="Heading4Char"/>
                <w:rFonts w:ascii="Verdana" w:hAnsi="Verdana"/>
                <w:i w:val="0"/>
                <w:color w:val="auto"/>
              </w:rPr>
              <w:t xml:space="preserve"> </w:t>
            </w:r>
            <w:r w:rsidR="00735B76">
              <w:rPr>
                <w:rStyle w:val="Heading4Char"/>
                <w:rFonts w:ascii="Verdana" w:hAnsi="Verdana"/>
                <w:i w:val="0"/>
                <w:color w:val="auto"/>
              </w:rPr>
              <w:t>–</w:t>
            </w:r>
            <w:r>
              <w:t xml:space="preserve"> </w:t>
            </w:r>
            <w:r w:rsidR="00735B76" w:rsidRPr="00735B76">
              <w:rPr>
                <w:rFonts w:ascii="Verdana" w:hAnsi="Verdana"/>
              </w:rPr>
              <w:t>there is high confi</w:t>
            </w:r>
            <w:r w:rsidR="00735B76">
              <w:rPr>
                <w:rFonts w:ascii="Verdana" w:hAnsi="Verdana"/>
              </w:rPr>
              <w:t>d</w:t>
            </w:r>
            <w:r w:rsidR="00735B76" w:rsidRPr="00735B76">
              <w:rPr>
                <w:rFonts w:ascii="Verdana" w:hAnsi="Verdana"/>
              </w:rPr>
              <w:t>ence</w:t>
            </w:r>
            <w:r w:rsidR="00735B76">
              <w:rPr>
                <w:rFonts w:ascii="Verdana" w:hAnsi="Verdana"/>
              </w:rPr>
              <w:t xml:space="preserve"> in respect of all pathways apart from Science &amp; Health (except for Health &amp; Social Care) where confidence is only fair;</w:t>
            </w:r>
          </w:p>
          <w:p w14:paraId="236219BF" w14:textId="119E69B4" w:rsidR="00735B76" w:rsidRPr="00304F77" w:rsidRDefault="00735B76" w:rsidP="00735B76"/>
        </w:tc>
      </w:tr>
      <w:tr w:rsidR="009403ED" w:rsidRPr="00304F77" w14:paraId="0ADD154E" w14:textId="77777777" w:rsidTr="001E635C">
        <w:tc>
          <w:tcPr>
            <w:tcW w:w="534" w:type="dxa"/>
          </w:tcPr>
          <w:p w14:paraId="76BA9C3F" w14:textId="77777777" w:rsidR="009403ED" w:rsidRPr="002F412F" w:rsidRDefault="009403ED" w:rsidP="005363B3">
            <w:pPr>
              <w:rPr>
                <w:rFonts w:ascii="Verdana" w:hAnsi="Verdana"/>
                <w:color w:val="FF0000"/>
              </w:rPr>
            </w:pPr>
          </w:p>
        </w:tc>
        <w:tc>
          <w:tcPr>
            <w:tcW w:w="312" w:type="dxa"/>
          </w:tcPr>
          <w:p w14:paraId="70091F7C" w14:textId="77777777" w:rsidR="009403ED" w:rsidRDefault="009403ED" w:rsidP="005363B3">
            <w:pPr>
              <w:rPr>
                <w:rFonts w:ascii="Verdana" w:hAnsi="Verdana"/>
                <w:b/>
              </w:rPr>
            </w:pPr>
            <w:r>
              <w:rPr>
                <w:rFonts w:ascii="Verdana" w:hAnsi="Verdana"/>
                <w:b/>
              </w:rPr>
              <w:t>.</w:t>
            </w:r>
          </w:p>
        </w:tc>
        <w:tc>
          <w:tcPr>
            <w:tcW w:w="8618" w:type="dxa"/>
          </w:tcPr>
          <w:p w14:paraId="776F7B60" w14:textId="005871A7" w:rsidR="009403ED" w:rsidRPr="00B33ACC" w:rsidRDefault="009403ED" w:rsidP="00735B76">
            <w:pPr>
              <w:rPr>
                <w:rFonts w:ascii="Verdana" w:hAnsi="Verdana"/>
              </w:rPr>
            </w:pPr>
            <w:r w:rsidRPr="00735B76">
              <w:rPr>
                <w:rStyle w:val="Heading4Char"/>
                <w:rFonts w:ascii="Verdana" w:hAnsi="Verdana"/>
                <w:b/>
                <w:color w:val="auto"/>
              </w:rPr>
              <w:t>Industry Placements</w:t>
            </w:r>
            <w:r w:rsidRPr="00735B76">
              <w:rPr>
                <w:rStyle w:val="Heading4Char"/>
                <w:rFonts w:ascii="Verdana" w:hAnsi="Verdana"/>
                <w:i w:val="0"/>
                <w:color w:val="auto"/>
              </w:rPr>
              <w:t xml:space="preserve"> </w:t>
            </w:r>
            <w:r w:rsidR="00F329D7" w:rsidRPr="00F329D7">
              <w:rPr>
                <w:rStyle w:val="Heading4Char"/>
                <w:rFonts w:ascii="Verdana" w:hAnsi="Verdana"/>
                <w:i w:val="0"/>
                <w:color w:val="auto"/>
              </w:rPr>
              <w:t xml:space="preserve">– this was reported to be an area of current focus, with </w:t>
            </w:r>
            <w:r w:rsidR="00F329D7">
              <w:rPr>
                <w:rStyle w:val="Heading4Char"/>
                <w:rFonts w:ascii="Verdana" w:hAnsi="Verdana"/>
                <w:i w:val="0"/>
              </w:rPr>
              <w:t>a</w:t>
            </w:r>
            <w:r w:rsidR="00F329D7">
              <w:rPr>
                <w:rStyle w:val="Heading4Char"/>
              </w:rPr>
              <w:t xml:space="preserve"> degree of</w:t>
            </w:r>
            <w:r w:rsidR="00D53DD1" w:rsidRPr="00F329D7">
              <w:rPr>
                <w:rFonts w:ascii="Verdana" w:hAnsi="Verdana"/>
                <w:i/>
              </w:rPr>
              <w:t xml:space="preserve"> </w:t>
            </w:r>
            <w:r w:rsidR="00D53DD1" w:rsidRPr="00F329D7">
              <w:rPr>
                <w:rFonts w:ascii="Verdana" w:hAnsi="Verdana"/>
                <w:iCs/>
              </w:rPr>
              <w:t>improvement reported since November, but still requiring considerable focus.</w:t>
            </w:r>
            <w:r w:rsidR="00735B76" w:rsidRPr="00735B76">
              <w:rPr>
                <w:rFonts w:ascii="Verdana" w:hAnsi="Verdana"/>
              </w:rPr>
              <w:t xml:space="preserve"> </w:t>
            </w:r>
          </w:p>
        </w:tc>
      </w:tr>
    </w:tbl>
    <w:p w14:paraId="1AAC4D13" w14:textId="0296FBF7" w:rsidR="007D75D9" w:rsidRDefault="007D75D9"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31F5D" w:rsidRPr="00D07924" w14:paraId="62D94906" w14:textId="77777777" w:rsidTr="001E635C">
        <w:tc>
          <w:tcPr>
            <w:tcW w:w="529" w:type="dxa"/>
            <w:shd w:val="clear" w:color="auto" w:fill="auto"/>
            <w:tcMar>
              <w:top w:w="0" w:type="dxa"/>
              <w:left w:w="108" w:type="dxa"/>
              <w:bottom w:w="0" w:type="dxa"/>
              <w:right w:w="108" w:type="dxa"/>
            </w:tcMar>
          </w:tcPr>
          <w:p w14:paraId="405FF76A" w14:textId="77777777" w:rsidR="00831F5D" w:rsidRPr="005D6214" w:rsidRDefault="00831F5D" w:rsidP="005363B3">
            <w:pPr>
              <w:pStyle w:val="NoSpacing"/>
              <w:rPr>
                <w:b/>
                <w:color w:val="FF0000"/>
              </w:rPr>
            </w:pPr>
          </w:p>
        </w:tc>
        <w:tc>
          <w:tcPr>
            <w:tcW w:w="8935" w:type="dxa"/>
            <w:shd w:val="clear" w:color="auto" w:fill="auto"/>
            <w:tcMar>
              <w:top w:w="0" w:type="dxa"/>
              <w:left w:w="108" w:type="dxa"/>
              <w:bottom w:w="0" w:type="dxa"/>
              <w:right w:w="108" w:type="dxa"/>
            </w:tcMar>
          </w:tcPr>
          <w:p w14:paraId="23D2E7BA" w14:textId="54CB732E" w:rsidR="00C56348" w:rsidRDefault="00F329D7" w:rsidP="00C56348">
            <w:pPr>
              <w:rPr>
                <w:rFonts w:ascii="Verdana" w:hAnsi="Verdana"/>
                <w:color w:val="000000"/>
              </w:rPr>
            </w:pPr>
            <w:r>
              <w:rPr>
                <w:rFonts w:ascii="Verdana" w:hAnsi="Verdana"/>
                <w:color w:val="000000"/>
              </w:rPr>
              <w:t>Governors expressed specific concern in relation to industry placements</w:t>
            </w:r>
            <w:r w:rsidR="00C56348" w:rsidRPr="00C56348">
              <w:rPr>
                <w:rFonts w:ascii="Verdana" w:hAnsi="Verdana"/>
                <w:color w:val="000000"/>
              </w:rPr>
              <w:t xml:space="preserve">, </w:t>
            </w:r>
            <w:r>
              <w:rPr>
                <w:rFonts w:ascii="Verdana" w:hAnsi="Verdana"/>
                <w:color w:val="000000"/>
              </w:rPr>
              <w:t>not only because</w:t>
            </w:r>
            <w:r w:rsidR="00C56348" w:rsidRPr="00C56348">
              <w:rPr>
                <w:rFonts w:ascii="Verdana" w:hAnsi="Verdana"/>
                <w:color w:val="000000"/>
              </w:rPr>
              <w:t xml:space="preserve"> the target will increase next year to 30</w:t>
            </w:r>
            <w:r>
              <w:rPr>
                <w:rFonts w:ascii="Verdana" w:hAnsi="Verdana"/>
                <w:color w:val="000000"/>
              </w:rPr>
              <w:t>%</w:t>
            </w:r>
            <w:r w:rsidR="00C56348" w:rsidRPr="00C56348">
              <w:rPr>
                <w:rFonts w:ascii="Verdana" w:hAnsi="Verdana"/>
                <w:color w:val="000000"/>
              </w:rPr>
              <w:t xml:space="preserve"> of vocational students (up from 20</w:t>
            </w:r>
            <w:r>
              <w:rPr>
                <w:rFonts w:ascii="Verdana" w:hAnsi="Verdana"/>
                <w:color w:val="000000"/>
              </w:rPr>
              <w:t>%</w:t>
            </w:r>
            <w:r w:rsidR="00C56348" w:rsidRPr="00C56348">
              <w:rPr>
                <w:rFonts w:ascii="Verdana" w:hAnsi="Verdana"/>
                <w:color w:val="000000"/>
              </w:rPr>
              <w:t>)</w:t>
            </w:r>
            <w:r>
              <w:rPr>
                <w:rFonts w:ascii="Verdana" w:hAnsi="Verdana"/>
                <w:color w:val="000000"/>
              </w:rPr>
              <w:t>,</w:t>
            </w:r>
            <w:r w:rsidR="00C56348" w:rsidRPr="00C56348">
              <w:rPr>
                <w:rFonts w:ascii="Verdana" w:hAnsi="Verdana"/>
                <w:color w:val="000000"/>
              </w:rPr>
              <w:t xml:space="preserve"> </w:t>
            </w:r>
            <w:r>
              <w:rPr>
                <w:rFonts w:ascii="Verdana" w:hAnsi="Verdana"/>
                <w:color w:val="000000"/>
              </w:rPr>
              <w:t>but also because</w:t>
            </w:r>
            <w:r w:rsidR="00C56348" w:rsidRPr="00C56348">
              <w:rPr>
                <w:rFonts w:ascii="Verdana" w:hAnsi="Verdana"/>
                <w:color w:val="000000"/>
              </w:rPr>
              <w:t xml:space="preserve"> the </w:t>
            </w:r>
            <w:r>
              <w:rPr>
                <w:rFonts w:ascii="Verdana" w:hAnsi="Verdana"/>
                <w:color w:val="000000"/>
              </w:rPr>
              <w:t>C</w:t>
            </w:r>
            <w:r w:rsidR="00C56348" w:rsidRPr="00C56348">
              <w:rPr>
                <w:rFonts w:ascii="Verdana" w:hAnsi="Verdana"/>
                <w:color w:val="000000"/>
              </w:rPr>
              <w:t>ollege</w:t>
            </w:r>
            <w:r w:rsidR="00793870">
              <w:rPr>
                <w:rFonts w:ascii="Verdana" w:hAnsi="Verdana"/>
                <w:color w:val="000000"/>
              </w:rPr>
              <w:t>’s</w:t>
            </w:r>
            <w:r w:rsidR="00C56348" w:rsidRPr="00C56348">
              <w:rPr>
                <w:rFonts w:ascii="Verdana" w:hAnsi="Verdana"/>
                <w:color w:val="000000"/>
              </w:rPr>
              <w:t xml:space="preserve"> </w:t>
            </w:r>
            <w:r w:rsidR="00793870">
              <w:rPr>
                <w:rFonts w:ascii="Verdana" w:hAnsi="Verdana"/>
                <w:color w:val="000000"/>
              </w:rPr>
              <w:t>performance against</w:t>
            </w:r>
            <w:r w:rsidR="00C56348" w:rsidRPr="00C56348">
              <w:rPr>
                <w:rFonts w:ascii="Verdana" w:hAnsi="Verdana"/>
                <w:color w:val="000000"/>
              </w:rPr>
              <w:t xml:space="preserve"> this year's target</w:t>
            </w:r>
            <w:r>
              <w:rPr>
                <w:rFonts w:ascii="Verdana" w:hAnsi="Verdana"/>
                <w:color w:val="000000"/>
              </w:rPr>
              <w:t>, and questioned what</w:t>
            </w:r>
            <w:r w:rsidR="00C56348" w:rsidRPr="00C56348">
              <w:rPr>
                <w:rFonts w:ascii="Verdana" w:hAnsi="Verdana"/>
                <w:color w:val="000000"/>
              </w:rPr>
              <w:t xml:space="preserve"> the strategy</w:t>
            </w:r>
            <w:r>
              <w:rPr>
                <w:rFonts w:ascii="Verdana" w:hAnsi="Verdana"/>
                <w:color w:val="000000"/>
              </w:rPr>
              <w:t xml:space="preserve"> is</w:t>
            </w:r>
            <w:r w:rsidR="00C56348" w:rsidRPr="00C56348">
              <w:rPr>
                <w:rFonts w:ascii="Verdana" w:hAnsi="Verdana"/>
                <w:color w:val="000000"/>
              </w:rPr>
              <w:t xml:space="preserve"> to </w:t>
            </w:r>
            <w:r>
              <w:rPr>
                <w:rFonts w:ascii="Verdana" w:hAnsi="Verdana"/>
                <w:color w:val="000000"/>
              </w:rPr>
              <w:t>achieve better outcomes, especially since</w:t>
            </w:r>
            <w:r w:rsidR="00C56348" w:rsidRPr="00C56348">
              <w:rPr>
                <w:rFonts w:ascii="Verdana" w:hAnsi="Verdana"/>
                <w:color w:val="000000"/>
              </w:rPr>
              <w:t xml:space="preserve"> funding is at risk if target</w:t>
            </w:r>
            <w:r>
              <w:rPr>
                <w:rFonts w:ascii="Verdana" w:hAnsi="Verdana"/>
                <w:color w:val="000000"/>
              </w:rPr>
              <w:t>s are</w:t>
            </w:r>
            <w:r w:rsidR="00C56348" w:rsidRPr="00C56348">
              <w:rPr>
                <w:rFonts w:ascii="Verdana" w:hAnsi="Verdana"/>
                <w:color w:val="000000"/>
              </w:rPr>
              <w:t xml:space="preserve"> not met. </w:t>
            </w:r>
          </w:p>
          <w:p w14:paraId="35D5D8EA" w14:textId="67EF556F" w:rsidR="00F329D7" w:rsidRDefault="00F329D7" w:rsidP="00C56348">
            <w:pPr>
              <w:rPr>
                <w:rFonts w:ascii="Verdana" w:hAnsi="Verdana"/>
                <w:color w:val="000000"/>
              </w:rPr>
            </w:pPr>
          </w:p>
          <w:p w14:paraId="38D79EFD" w14:textId="3D7BA5E5" w:rsidR="00F329D7" w:rsidRDefault="00F329D7" w:rsidP="00F329D7">
            <w:pPr>
              <w:pStyle w:val="xmsoplaintext"/>
              <w:rPr>
                <w:rFonts w:ascii="Verdana" w:hAnsi="Verdana" w:cs="Times New Roman"/>
              </w:rPr>
            </w:pPr>
            <w:r w:rsidRPr="00F329D7">
              <w:rPr>
                <w:rFonts w:ascii="Verdana" w:hAnsi="Verdana"/>
                <w:color w:val="000000"/>
              </w:rPr>
              <w:t xml:space="preserve">In response, </w:t>
            </w:r>
            <w:r>
              <w:rPr>
                <w:rFonts w:ascii="Verdana" w:hAnsi="Verdana" w:cs="Times New Roman"/>
              </w:rPr>
              <w:t xml:space="preserve">it was </w:t>
            </w:r>
            <w:r w:rsidR="00B86CE5">
              <w:rPr>
                <w:rFonts w:ascii="Verdana" w:hAnsi="Verdana" w:cs="Times New Roman"/>
              </w:rPr>
              <w:t>acknowledg</w:t>
            </w:r>
            <w:r>
              <w:rPr>
                <w:rFonts w:ascii="Verdana" w:hAnsi="Verdana" w:cs="Times New Roman"/>
              </w:rPr>
              <w:t>ed that a</w:t>
            </w:r>
            <w:r w:rsidRPr="00F329D7">
              <w:rPr>
                <w:rFonts w:ascii="Verdana" w:hAnsi="Verdana" w:cs="Times New Roman"/>
              </w:rPr>
              <w:t>lthough th</w:t>
            </w:r>
            <w:r>
              <w:rPr>
                <w:rFonts w:ascii="Verdana" w:hAnsi="Verdana" w:cs="Times New Roman"/>
              </w:rPr>
              <w:t>e situation concerning the industry placement programme</w:t>
            </w:r>
            <w:r w:rsidRPr="00F329D7">
              <w:rPr>
                <w:rFonts w:ascii="Verdana" w:hAnsi="Verdana" w:cs="Times New Roman"/>
              </w:rPr>
              <w:t xml:space="preserve"> is </w:t>
            </w:r>
            <w:r>
              <w:rPr>
                <w:rFonts w:ascii="Verdana" w:hAnsi="Verdana" w:cs="Times New Roman"/>
              </w:rPr>
              <w:t>common across many</w:t>
            </w:r>
            <w:r w:rsidRPr="00F329D7">
              <w:rPr>
                <w:rFonts w:ascii="Verdana" w:hAnsi="Verdana" w:cs="Times New Roman"/>
              </w:rPr>
              <w:t xml:space="preserve"> colleges</w:t>
            </w:r>
            <w:r w:rsidR="00B86CE5">
              <w:rPr>
                <w:rFonts w:ascii="Verdana" w:hAnsi="Verdana" w:cs="Times New Roman"/>
              </w:rPr>
              <w:t>,</w:t>
            </w:r>
            <w:r w:rsidRPr="00F329D7">
              <w:rPr>
                <w:rFonts w:ascii="Verdana" w:hAnsi="Verdana" w:cs="Times New Roman"/>
              </w:rPr>
              <w:t xml:space="preserve"> more significant progress</w:t>
            </w:r>
            <w:r>
              <w:rPr>
                <w:rFonts w:ascii="Verdana" w:hAnsi="Verdana" w:cs="Times New Roman"/>
              </w:rPr>
              <w:t xml:space="preserve"> must be made</w:t>
            </w:r>
            <w:r w:rsidRPr="00F329D7">
              <w:rPr>
                <w:rFonts w:ascii="Verdana" w:hAnsi="Verdana" w:cs="Times New Roman"/>
              </w:rPr>
              <w:t xml:space="preserve">. </w:t>
            </w:r>
            <w:r w:rsidR="00B86CE5">
              <w:rPr>
                <w:rFonts w:ascii="Verdana" w:hAnsi="Verdana" w:cs="Times New Roman"/>
              </w:rPr>
              <w:t xml:space="preserve"> R</w:t>
            </w:r>
            <w:r w:rsidRPr="00F329D7">
              <w:rPr>
                <w:rFonts w:ascii="Verdana" w:hAnsi="Verdana" w:cs="Times New Roman"/>
              </w:rPr>
              <w:t>e-design</w:t>
            </w:r>
            <w:r w:rsidR="00B86CE5">
              <w:rPr>
                <w:rFonts w:ascii="Verdana" w:hAnsi="Verdana" w:cs="Times New Roman"/>
              </w:rPr>
              <w:t>ing</w:t>
            </w:r>
            <w:r w:rsidRPr="00F329D7">
              <w:rPr>
                <w:rFonts w:ascii="Verdana" w:hAnsi="Verdana" w:cs="Times New Roman"/>
              </w:rPr>
              <w:t xml:space="preserve"> the timetable this year</w:t>
            </w:r>
            <w:r w:rsidR="00B86CE5">
              <w:rPr>
                <w:rFonts w:ascii="Verdana" w:hAnsi="Verdana" w:cs="Times New Roman"/>
              </w:rPr>
              <w:t xml:space="preserve"> had not had</w:t>
            </w:r>
            <w:r w:rsidRPr="00F329D7">
              <w:rPr>
                <w:rFonts w:ascii="Verdana" w:hAnsi="Verdana" w:cs="Times New Roman"/>
              </w:rPr>
              <w:t xml:space="preserve"> the required impact and a different model </w:t>
            </w:r>
            <w:r w:rsidR="00B86CE5">
              <w:rPr>
                <w:rFonts w:ascii="Verdana" w:hAnsi="Verdana" w:cs="Times New Roman"/>
              </w:rPr>
              <w:t>is being considered for 2020-21 which</w:t>
            </w:r>
            <w:r w:rsidRPr="00F329D7">
              <w:rPr>
                <w:rFonts w:ascii="Verdana" w:hAnsi="Verdana" w:cs="Times New Roman"/>
              </w:rPr>
              <w:t xml:space="preserve"> makes more use of </w:t>
            </w:r>
            <w:r w:rsidR="00B86CE5">
              <w:rPr>
                <w:rFonts w:ascii="Verdana" w:hAnsi="Verdana" w:cs="Times New Roman"/>
              </w:rPr>
              <w:t>the College’s</w:t>
            </w:r>
            <w:r w:rsidRPr="00F329D7">
              <w:rPr>
                <w:rFonts w:ascii="Verdana" w:hAnsi="Verdana" w:cs="Times New Roman"/>
              </w:rPr>
              <w:t xml:space="preserve"> brokerage partners.</w:t>
            </w:r>
          </w:p>
          <w:p w14:paraId="4B981A75" w14:textId="253BD34C" w:rsidR="00B86CE5" w:rsidRDefault="00B86CE5" w:rsidP="00F329D7">
            <w:pPr>
              <w:pStyle w:val="xmsoplaintext"/>
              <w:rPr>
                <w:rFonts w:ascii="Verdana" w:hAnsi="Verdana" w:cs="Times New Roman"/>
              </w:rPr>
            </w:pPr>
          </w:p>
          <w:p w14:paraId="38DA822F" w14:textId="570843E7" w:rsidR="00B86CE5" w:rsidRDefault="00B86CE5" w:rsidP="00B86CE5">
            <w:pPr>
              <w:pStyle w:val="xmsoplaintext"/>
              <w:rPr>
                <w:rFonts w:ascii="Verdana" w:hAnsi="Verdana" w:cs="Times New Roman"/>
              </w:rPr>
            </w:pPr>
            <w:r w:rsidRPr="00B86CE5">
              <w:rPr>
                <w:rFonts w:ascii="Verdana" w:hAnsi="Verdana" w:cs="Times New Roman"/>
              </w:rPr>
              <w:t>In addressing governor concerns over the longer-term strategy for employer links and their associated targets, it was stated that</w:t>
            </w:r>
            <w:r>
              <w:rPr>
                <w:rFonts w:ascii="Verdana" w:hAnsi="Verdana" w:cs="Times New Roman"/>
              </w:rPr>
              <w:t xml:space="preserve"> the</w:t>
            </w:r>
            <w:r w:rsidRPr="00B86CE5">
              <w:rPr>
                <w:rFonts w:ascii="Verdana" w:hAnsi="Verdana" w:cs="Times New Roman"/>
              </w:rPr>
              <w:t xml:space="preserve"> Strategic </w:t>
            </w:r>
            <w:r>
              <w:rPr>
                <w:rFonts w:ascii="Verdana" w:hAnsi="Verdana" w:cs="Times New Roman"/>
              </w:rPr>
              <w:t>P</w:t>
            </w:r>
            <w:r w:rsidRPr="00B86CE5">
              <w:rPr>
                <w:rFonts w:ascii="Verdana" w:hAnsi="Verdana" w:cs="Times New Roman"/>
              </w:rPr>
              <w:t xml:space="preserve">lan </w:t>
            </w:r>
            <w:r>
              <w:rPr>
                <w:rFonts w:ascii="Verdana" w:hAnsi="Verdana" w:cs="Times New Roman"/>
              </w:rPr>
              <w:t>provides for the development of</w:t>
            </w:r>
            <w:r w:rsidRPr="00B86CE5">
              <w:rPr>
                <w:rFonts w:ascii="Verdana" w:hAnsi="Verdana" w:cs="Times New Roman"/>
              </w:rPr>
              <w:t xml:space="preserve"> prestigious partnerships between </w:t>
            </w:r>
            <w:r>
              <w:rPr>
                <w:rFonts w:ascii="Verdana" w:hAnsi="Verdana" w:cs="Times New Roman"/>
              </w:rPr>
              <w:t>specific</w:t>
            </w:r>
            <w:r w:rsidRPr="00B86CE5">
              <w:rPr>
                <w:rFonts w:ascii="Verdana" w:hAnsi="Verdana" w:cs="Times New Roman"/>
              </w:rPr>
              <w:t xml:space="preserve"> pathways and </w:t>
            </w:r>
            <w:r>
              <w:rPr>
                <w:rFonts w:ascii="Verdana" w:hAnsi="Verdana" w:cs="Times New Roman"/>
              </w:rPr>
              <w:t xml:space="preserve">relevant </w:t>
            </w:r>
            <w:r w:rsidRPr="00B86CE5">
              <w:rPr>
                <w:rFonts w:ascii="Verdana" w:hAnsi="Verdana" w:cs="Times New Roman"/>
              </w:rPr>
              <w:t xml:space="preserve">employers. </w:t>
            </w:r>
            <w:r>
              <w:rPr>
                <w:rFonts w:ascii="Verdana" w:hAnsi="Verdana" w:cs="Times New Roman"/>
              </w:rPr>
              <w:t xml:space="preserve"> </w:t>
            </w:r>
            <w:r w:rsidRPr="00B86CE5">
              <w:rPr>
                <w:rFonts w:ascii="Verdana" w:hAnsi="Verdana" w:cs="Times New Roman"/>
              </w:rPr>
              <w:t xml:space="preserve">In addition to the KPI’s </w:t>
            </w:r>
            <w:r w:rsidR="00793870">
              <w:rPr>
                <w:rFonts w:ascii="Verdana" w:hAnsi="Verdana" w:cs="Times New Roman"/>
              </w:rPr>
              <w:t xml:space="preserve">for </w:t>
            </w:r>
            <w:r w:rsidRPr="00B86CE5">
              <w:rPr>
                <w:rFonts w:ascii="Verdana" w:hAnsi="Verdana" w:cs="Times New Roman"/>
              </w:rPr>
              <w:t xml:space="preserve">placements and projects, </w:t>
            </w:r>
            <w:r>
              <w:rPr>
                <w:rFonts w:ascii="Verdana" w:hAnsi="Verdana" w:cs="Times New Roman"/>
              </w:rPr>
              <w:t>a</w:t>
            </w:r>
            <w:r w:rsidRPr="00B86CE5">
              <w:rPr>
                <w:rFonts w:ascii="Verdana" w:hAnsi="Verdana" w:cs="Times New Roman"/>
              </w:rPr>
              <w:t xml:space="preserve"> target in the </w:t>
            </w:r>
            <w:r>
              <w:rPr>
                <w:rFonts w:ascii="Verdana" w:hAnsi="Verdana" w:cs="Times New Roman"/>
              </w:rPr>
              <w:t>S</w:t>
            </w:r>
            <w:r w:rsidRPr="00B86CE5">
              <w:rPr>
                <w:rFonts w:ascii="Verdana" w:hAnsi="Verdana" w:cs="Times New Roman"/>
              </w:rPr>
              <w:t xml:space="preserve">trategic </w:t>
            </w:r>
            <w:r>
              <w:rPr>
                <w:rFonts w:ascii="Verdana" w:hAnsi="Verdana" w:cs="Times New Roman"/>
              </w:rPr>
              <w:t>P</w:t>
            </w:r>
            <w:r w:rsidRPr="00B86CE5">
              <w:rPr>
                <w:rFonts w:ascii="Verdana" w:hAnsi="Verdana" w:cs="Times New Roman"/>
              </w:rPr>
              <w:t xml:space="preserve">lan is for each pathway to have a ‘prestigious partnership’ in place and </w:t>
            </w:r>
            <w:r>
              <w:rPr>
                <w:rFonts w:ascii="Verdana" w:hAnsi="Verdana" w:cs="Times New Roman"/>
              </w:rPr>
              <w:t>operat</w:t>
            </w:r>
            <w:r w:rsidRPr="00B86CE5">
              <w:rPr>
                <w:rFonts w:ascii="Verdana" w:hAnsi="Verdana" w:cs="Times New Roman"/>
              </w:rPr>
              <w:t xml:space="preserve">ing by the end of the </w:t>
            </w:r>
            <w:r>
              <w:rPr>
                <w:rFonts w:ascii="Verdana" w:hAnsi="Verdana" w:cs="Times New Roman"/>
              </w:rPr>
              <w:t>20</w:t>
            </w:r>
            <w:r w:rsidRPr="00B86CE5">
              <w:rPr>
                <w:rFonts w:ascii="Verdana" w:hAnsi="Verdana" w:cs="Times New Roman"/>
              </w:rPr>
              <w:t>21</w:t>
            </w:r>
            <w:r>
              <w:rPr>
                <w:rFonts w:ascii="Verdana" w:hAnsi="Verdana" w:cs="Times New Roman"/>
              </w:rPr>
              <w:t>-</w:t>
            </w:r>
            <w:r w:rsidRPr="00B86CE5">
              <w:rPr>
                <w:rFonts w:ascii="Verdana" w:hAnsi="Verdana" w:cs="Times New Roman"/>
              </w:rPr>
              <w:t>22 academic year.</w:t>
            </w:r>
          </w:p>
          <w:p w14:paraId="5ECDA7BC" w14:textId="12A8CCDD" w:rsidR="00B86CE5" w:rsidRDefault="00B86CE5" w:rsidP="00B86CE5">
            <w:pPr>
              <w:pStyle w:val="xmsoplaintext"/>
              <w:rPr>
                <w:rFonts w:ascii="Verdana" w:hAnsi="Verdana" w:cs="Times New Roman"/>
              </w:rPr>
            </w:pPr>
          </w:p>
          <w:p w14:paraId="70C7ED89" w14:textId="08F244EF" w:rsidR="00B86CE5" w:rsidRPr="008A1E99" w:rsidRDefault="00B86CE5" w:rsidP="00B86CE5">
            <w:pPr>
              <w:pStyle w:val="xmsoplaintext"/>
              <w:rPr>
                <w:rFonts w:ascii="Verdana" w:hAnsi="Verdana"/>
              </w:rPr>
            </w:pPr>
            <w:r w:rsidRPr="00B86CE5">
              <w:rPr>
                <w:rFonts w:ascii="Verdana" w:hAnsi="Verdana"/>
              </w:rPr>
              <w:t>In response to a question over the extent to which alumni had provided placements</w:t>
            </w:r>
            <w:r w:rsidR="008A1E99">
              <w:rPr>
                <w:rFonts w:ascii="Verdana" w:hAnsi="Verdana"/>
              </w:rPr>
              <w:t xml:space="preserve"> and funding</w:t>
            </w:r>
            <w:r w:rsidRPr="00B86CE5">
              <w:rPr>
                <w:rFonts w:ascii="Verdana" w:hAnsi="Verdana"/>
              </w:rPr>
              <w:t xml:space="preserve">, it was reported that </w:t>
            </w:r>
            <w:r>
              <w:rPr>
                <w:rFonts w:ascii="Verdana" w:hAnsi="Verdana"/>
              </w:rPr>
              <w:t>the College had</w:t>
            </w:r>
            <w:r w:rsidRPr="00B86CE5">
              <w:rPr>
                <w:rFonts w:ascii="Verdana" w:hAnsi="Verdana"/>
              </w:rPr>
              <w:t xml:space="preserve"> engaged with alumni more than in previous years</w:t>
            </w:r>
            <w:r w:rsidR="008A1E99">
              <w:rPr>
                <w:rFonts w:ascii="Verdana" w:hAnsi="Verdana"/>
              </w:rPr>
              <w:t>, with</w:t>
            </w:r>
            <w:r w:rsidRPr="00B86CE5">
              <w:rPr>
                <w:rFonts w:ascii="Verdana" w:hAnsi="Verdana"/>
              </w:rPr>
              <w:t xml:space="preserve"> two alumni weeks </w:t>
            </w:r>
            <w:r w:rsidR="008A1E99">
              <w:rPr>
                <w:rFonts w:ascii="Verdana" w:hAnsi="Verdana"/>
              </w:rPr>
              <w:t>and</w:t>
            </w:r>
            <w:r w:rsidRPr="00B86CE5">
              <w:rPr>
                <w:rFonts w:ascii="Verdana" w:hAnsi="Verdana"/>
              </w:rPr>
              <w:t xml:space="preserve"> a third planned for the </w:t>
            </w:r>
            <w:r w:rsidR="008A1E99">
              <w:rPr>
                <w:rFonts w:ascii="Verdana" w:hAnsi="Verdana"/>
              </w:rPr>
              <w:t>S</w:t>
            </w:r>
            <w:r w:rsidRPr="00B86CE5">
              <w:rPr>
                <w:rFonts w:ascii="Verdana" w:hAnsi="Verdana"/>
              </w:rPr>
              <w:t xml:space="preserve">ummer </w:t>
            </w:r>
            <w:r w:rsidR="008A1E99">
              <w:rPr>
                <w:rFonts w:ascii="Verdana" w:hAnsi="Verdana"/>
              </w:rPr>
              <w:t>T</w:t>
            </w:r>
            <w:r w:rsidRPr="00B86CE5">
              <w:rPr>
                <w:rFonts w:ascii="Verdana" w:hAnsi="Verdana"/>
              </w:rPr>
              <w:t xml:space="preserve">erm. </w:t>
            </w:r>
            <w:r w:rsidR="008A1E99">
              <w:rPr>
                <w:rFonts w:ascii="Verdana" w:hAnsi="Verdana"/>
              </w:rPr>
              <w:t xml:space="preserve"> </w:t>
            </w:r>
            <w:r w:rsidRPr="00B86CE5">
              <w:rPr>
                <w:rFonts w:ascii="Verdana" w:hAnsi="Verdana"/>
              </w:rPr>
              <w:t xml:space="preserve">However, as yet, there </w:t>
            </w:r>
            <w:r w:rsidR="008A1E99">
              <w:rPr>
                <w:rFonts w:ascii="Verdana" w:hAnsi="Verdana"/>
              </w:rPr>
              <w:t>had not</w:t>
            </w:r>
            <w:r w:rsidRPr="00B86CE5">
              <w:rPr>
                <w:rFonts w:ascii="Verdana" w:hAnsi="Verdana"/>
              </w:rPr>
              <w:t xml:space="preserve"> been an appetite from these alumni to </w:t>
            </w:r>
            <w:r w:rsidR="008A1E99">
              <w:rPr>
                <w:rFonts w:ascii="Verdana" w:hAnsi="Verdana"/>
              </w:rPr>
              <w:t>provide</w:t>
            </w:r>
            <w:r w:rsidRPr="00B86CE5">
              <w:rPr>
                <w:rFonts w:ascii="Verdana" w:hAnsi="Verdana"/>
              </w:rPr>
              <w:t xml:space="preserve"> placements although all want to </w:t>
            </w:r>
            <w:r w:rsidR="008A1E99">
              <w:rPr>
                <w:rFonts w:ascii="Verdana" w:hAnsi="Verdana"/>
              </w:rPr>
              <w:t>return</w:t>
            </w:r>
            <w:r w:rsidRPr="00B86CE5">
              <w:rPr>
                <w:rFonts w:ascii="Verdana" w:hAnsi="Verdana"/>
              </w:rPr>
              <w:t xml:space="preserve"> </w:t>
            </w:r>
            <w:r w:rsidRPr="008A1E99">
              <w:rPr>
                <w:rFonts w:ascii="Verdana" w:hAnsi="Verdana"/>
              </w:rPr>
              <w:t xml:space="preserve">to deliver another talk. </w:t>
            </w:r>
            <w:r w:rsidR="008A1E99" w:rsidRPr="008A1E99">
              <w:rPr>
                <w:rFonts w:ascii="Verdana" w:hAnsi="Verdana"/>
              </w:rPr>
              <w:t xml:space="preserve"> </w:t>
            </w:r>
            <w:r w:rsidRPr="008A1E99">
              <w:rPr>
                <w:rFonts w:ascii="Verdana" w:hAnsi="Verdana"/>
              </w:rPr>
              <w:t xml:space="preserve">Longer term, and when resources permit, </w:t>
            </w:r>
            <w:r w:rsidR="008A1E99" w:rsidRPr="008A1E99">
              <w:rPr>
                <w:rFonts w:ascii="Verdana" w:hAnsi="Verdana"/>
              </w:rPr>
              <w:t>the College</w:t>
            </w:r>
            <w:r w:rsidRPr="008A1E99">
              <w:rPr>
                <w:rFonts w:ascii="Verdana" w:hAnsi="Verdana"/>
              </w:rPr>
              <w:t xml:space="preserve"> would like to invest in a </w:t>
            </w:r>
            <w:r w:rsidR="008A1E99" w:rsidRPr="008A1E99">
              <w:rPr>
                <w:rFonts w:ascii="Verdana" w:hAnsi="Verdana"/>
              </w:rPr>
              <w:t>facility enabling</w:t>
            </w:r>
            <w:r w:rsidRPr="008A1E99">
              <w:rPr>
                <w:rFonts w:ascii="Verdana" w:hAnsi="Verdana"/>
              </w:rPr>
              <w:t xml:space="preserve"> alumni to donate to a ‘Monoux Scholars’ programme</w:t>
            </w:r>
            <w:r w:rsidR="008A1E99" w:rsidRPr="008A1E99">
              <w:rPr>
                <w:rFonts w:ascii="Verdana" w:hAnsi="Verdana"/>
              </w:rPr>
              <w:t>.</w:t>
            </w:r>
          </w:p>
          <w:p w14:paraId="514B3F7E" w14:textId="4ECFA73B" w:rsidR="008A1E99" w:rsidRPr="008A1E99" w:rsidRDefault="008A1E99" w:rsidP="00B86CE5">
            <w:pPr>
              <w:pStyle w:val="xmsoplaintext"/>
              <w:rPr>
                <w:rFonts w:ascii="Verdana" w:hAnsi="Verdana"/>
              </w:rPr>
            </w:pPr>
          </w:p>
          <w:p w14:paraId="3CA36152" w14:textId="73EE8FAC" w:rsidR="00061307" w:rsidRPr="008A1E99" w:rsidRDefault="008A1E99" w:rsidP="008A1E99">
            <w:pPr>
              <w:pStyle w:val="xmsoplaintext"/>
              <w:rPr>
                <w:rFonts w:ascii="Verdana" w:hAnsi="Verdana" w:cs="Times New Roman"/>
              </w:rPr>
            </w:pPr>
            <w:r w:rsidRPr="008A1E99">
              <w:rPr>
                <w:rFonts w:ascii="Verdana" w:hAnsi="Verdana"/>
                <w:color w:val="000000"/>
              </w:rPr>
              <w:t>Questioned over the long</w:t>
            </w:r>
            <w:r w:rsidR="00793870">
              <w:rPr>
                <w:rFonts w:ascii="Verdana" w:hAnsi="Verdana"/>
                <w:color w:val="000000"/>
              </w:rPr>
              <w:t>-</w:t>
            </w:r>
            <w:r w:rsidRPr="008A1E99">
              <w:rPr>
                <w:rFonts w:ascii="Verdana" w:hAnsi="Verdana"/>
                <w:color w:val="000000"/>
              </w:rPr>
              <w:t xml:space="preserve">term reliance on brokers for </w:t>
            </w:r>
            <w:r>
              <w:rPr>
                <w:rFonts w:ascii="Verdana" w:hAnsi="Verdana"/>
                <w:color w:val="000000"/>
              </w:rPr>
              <w:t xml:space="preserve">work </w:t>
            </w:r>
            <w:r w:rsidRPr="008A1E99">
              <w:rPr>
                <w:rFonts w:ascii="Verdana" w:hAnsi="Verdana"/>
                <w:color w:val="000000"/>
              </w:rPr>
              <w:t>placements</w:t>
            </w:r>
            <w:r>
              <w:rPr>
                <w:rFonts w:ascii="Verdana" w:hAnsi="Verdana"/>
                <w:color w:val="000000"/>
              </w:rPr>
              <w:t>,</w:t>
            </w:r>
            <w:r w:rsidRPr="008A1E99">
              <w:rPr>
                <w:rFonts w:ascii="Verdana" w:hAnsi="Verdana"/>
                <w:color w:val="000000"/>
              </w:rPr>
              <w:t xml:space="preserve"> SLT indicated that it represent</w:t>
            </w:r>
            <w:r>
              <w:rPr>
                <w:rFonts w:ascii="Verdana" w:hAnsi="Verdana"/>
                <w:color w:val="000000"/>
              </w:rPr>
              <w:t>s</w:t>
            </w:r>
            <w:r w:rsidRPr="008A1E99">
              <w:rPr>
                <w:rFonts w:ascii="Verdana" w:hAnsi="Verdana"/>
                <w:color w:val="000000"/>
              </w:rPr>
              <w:t xml:space="preserve"> value for money at the moment</w:t>
            </w:r>
            <w:r>
              <w:rPr>
                <w:rFonts w:ascii="Verdana" w:hAnsi="Verdana"/>
                <w:color w:val="000000"/>
              </w:rPr>
              <w:t>, though</w:t>
            </w:r>
            <w:r w:rsidRPr="008A1E99">
              <w:rPr>
                <w:rFonts w:ascii="Verdana" w:hAnsi="Verdana"/>
                <w:color w:val="000000"/>
              </w:rPr>
              <w:t xml:space="preserve"> there is an aspiration to </w:t>
            </w:r>
            <w:r>
              <w:rPr>
                <w:rFonts w:ascii="Verdana" w:hAnsi="Verdana"/>
                <w:color w:val="000000"/>
              </w:rPr>
              <w:t xml:space="preserve">eventually </w:t>
            </w:r>
            <w:r w:rsidRPr="008A1E99">
              <w:rPr>
                <w:rFonts w:ascii="Verdana" w:hAnsi="Verdana"/>
                <w:color w:val="000000"/>
              </w:rPr>
              <w:t>move away from brokerage</w:t>
            </w:r>
            <w:r>
              <w:rPr>
                <w:rFonts w:ascii="Verdana" w:hAnsi="Verdana"/>
                <w:color w:val="000000"/>
              </w:rPr>
              <w:t>,</w:t>
            </w:r>
            <w:r w:rsidRPr="008A1E99">
              <w:rPr>
                <w:rFonts w:ascii="Verdana" w:hAnsi="Verdana"/>
                <w:color w:val="000000"/>
              </w:rPr>
              <w:t xml:space="preserve"> if possible</w:t>
            </w:r>
            <w:r>
              <w:rPr>
                <w:rFonts w:ascii="Verdana" w:hAnsi="Verdana"/>
                <w:color w:val="000000"/>
              </w:rPr>
              <w:t>.</w:t>
            </w:r>
          </w:p>
        </w:tc>
      </w:tr>
    </w:tbl>
    <w:p w14:paraId="16EB7324" w14:textId="220A9E6A" w:rsidR="00D53DD1" w:rsidRDefault="00D53DD1" w:rsidP="00626F4B">
      <w:pPr>
        <w:rPr>
          <w:color w:val="FF0000"/>
        </w:rPr>
      </w:pPr>
    </w:p>
    <w:p w14:paraId="17F0FA08" w14:textId="1A1C2834" w:rsidR="00793870" w:rsidRDefault="00793870" w:rsidP="00626F4B">
      <w:pPr>
        <w:rPr>
          <w:color w:val="FF0000"/>
        </w:rPr>
      </w:pPr>
    </w:p>
    <w:p w14:paraId="453F0C83" w14:textId="1ECFCB38" w:rsidR="001E635C" w:rsidRDefault="001E635C" w:rsidP="00626F4B">
      <w:pPr>
        <w:rPr>
          <w:color w:val="FF0000"/>
        </w:rPr>
      </w:pPr>
    </w:p>
    <w:p w14:paraId="24B3DDB7" w14:textId="234D7C11" w:rsidR="001E635C" w:rsidRDefault="001E635C" w:rsidP="00626F4B">
      <w:pPr>
        <w:rPr>
          <w:color w:val="FF0000"/>
        </w:rPr>
      </w:pPr>
    </w:p>
    <w:p w14:paraId="6E9D4FB2" w14:textId="2407505C" w:rsidR="001E635C" w:rsidRDefault="001E635C" w:rsidP="00626F4B">
      <w:pPr>
        <w:rPr>
          <w:color w:val="FF0000"/>
        </w:rPr>
      </w:pPr>
    </w:p>
    <w:p w14:paraId="47A29417" w14:textId="431818D0" w:rsidR="001E635C" w:rsidRDefault="001E635C" w:rsidP="00626F4B">
      <w:pPr>
        <w:rPr>
          <w:color w:val="FF0000"/>
        </w:rPr>
      </w:pPr>
    </w:p>
    <w:p w14:paraId="0E7CB0F7" w14:textId="609DBF8E" w:rsidR="001E635C" w:rsidRDefault="001E635C" w:rsidP="00626F4B">
      <w:pPr>
        <w:rPr>
          <w:color w:val="FF0000"/>
        </w:rPr>
      </w:pPr>
    </w:p>
    <w:p w14:paraId="1ECAA3E6" w14:textId="5EFE64F3" w:rsidR="001E635C" w:rsidRDefault="001E635C" w:rsidP="00626F4B">
      <w:pPr>
        <w:rPr>
          <w:color w:val="FF0000"/>
        </w:rPr>
      </w:pPr>
    </w:p>
    <w:p w14:paraId="6073B988" w14:textId="77777777" w:rsidR="001E635C" w:rsidRDefault="001E635C"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272BBF" w:rsidRPr="006D35B2" w14:paraId="49F8DAF1" w14:textId="77777777" w:rsidTr="001E635C">
        <w:tc>
          <w:tcPr>
            <w:tcW w:w="529" w:type="dxa"/>
            <w:shd w:val="clear" w:color="auto" w:fill="auto"/>
            <w:tcMar>
              <w:top w:w="0" w:type="dxa"/>
              <w:left w:w="108" w:type="dxa"/>
              <w:bottom w:w="0" w:type="dxa"/>
              <w:right w:w="108" w:type="dxa"/>
            </w:tcMar>
          </w:tcPr>
          <w:p w14:paraId="7B2C6B72" w14:textId="4801F425" w:rsidR="00272BBF" w:rsidRDefault="00D36A46" w:rsidP="005363B3">
            <w:pPr>
              <w:pStyle w:val="NoSpacing"/>
              <w:rPr>
                <w:b/>
              </w:rPr>
            </w:pPr>
            <w:r>
              <w:rPr>
                <w:b/>
              </w:rPr>
              <w:lastRenderedPageBreak/>
              <w:t>8</w:t>
            </w:r>
          </w:p>
        </w:tc>
        <w:tc>
          <w:tcPr>
            <w:tcW w:w="8935" w:type="dxa"/>
            <w:shd w:val="clear" w:color="auto" w:fill="auto"/>
            <w:tcMar>
              <w:top w:w="0" w:type="dxa"/>
              <w:left w:w="108" w:type="dxa"/>
              <w:bottom w:w="0" w:type="dxa"/>
              <w:right w:w="108" w:type="dxa"/>
            </w:tcMar>
          </w:tcPr>
          <w:p w14:paraId="64A7A25B" w14:textId="77777777" w:rsidR="00D36A46" w:rsidRDefault="00D36A46" w:rsidP="00D36A46">
            <w:pPr>
              <w:rPr>
                <w:rFonts w:ascii="Verdana" w:hAnsi="Verdana"/>
                <w:b/>
              </w:rPr>
            </w:pPr>
            <w:r w:rsidRPr="00431A61">
              <w:rPr>
                <w:rFonts w:ascii="Verdana" w:hAnsi="Verdana"/>
                <w:b/>
              </w:rPr>
              <w:t xml:space="preserve">Key Performance Indicators </w:t>
            </w:r>
            <w:r>
              <w:rPr>
                <w:rFonts w:ascii="Verdana" w:hAnsi="Verdana"/>
                <w:b/>
              </w:rPr>
              <w:t>2018-19 &amp; 2019-20</w:t>
            </w:r>
          </w:p>
          <w:p w14:paraId="4093B437" w14:textId="77777777" w:rsidR="00272BBF" w:rsidRDefault="00272BBF" w:rsidP="005363B3">
            <w:pPr>
              <w:rPr>
                <w:rFonts w:ascii="Verdana" w:hAnsi="Verdana"/>
              </w:rPr>
            </w:pPr>
          </w:p>
          <w:p w14:paraId="18AD433B" w14:textId="59FAFCF5" w:rsidR="00272BBF" w:rsidRPr="006D35B2" w:rsidRDefault="00D53DD1" w:rsidP="005363B3">
            <w:pPr>
              <w:rPr>
                <w:rFonts w:ascii="Verdana" w:hAnsi="Verdana"/>
              </w:rPr>
            </w:pPr>
            <w:r>
              <w:rPr>
                <w:rFonts w:ascii="Verdana" w:hAnsi="Verdana"/>
              </w:rPr>
              <w:t xml:space="preserve">Where </w:t>
            </w:r>
            <w:r w:rsidR="00606929">
              <w:rPr>
                <w:rFonts w:ascii="Verdana" w:hAnsi="Verdana"/>
              </w:rPr>
              <w:t xml:space="preserve">projections </w:t>
            </w:r>
            <w:r>
              <w:rPr>
                <w:rFonts w:ascii="Verdana" w:hAnsi="Verdana"/>
              </w:rPr>
              <w:t>measures are valid at this point of the year, the following w</w:t>
            </w:r>
            <w:r w:rsidR="00606929">
              <w:rPr>
                <w:rFonts w:ascii="Verdana" w:hAnsi="Verdana"/>
              </w:rPr>
              <w:t>ere</w:t>
            </w:r>
            <w:r>
              <w:rPr>
                <w:rFonts w:ascii="Verdana" w:hAnsi="Verdana"/>
              </w:rPr>
              <w:t xml:space="preserve"> reported:</w:t>
            </w:r>
          </w:p>
        </w:tc>
      </w:tr>
    </w:tbl>
    <w:p w14:paraId="49375111" w14:textId="77777777" w:rsidR="00B33ACC" w:rsidRDefault="00B33ACC" w:rsidP="00626F4B">
      <w:pPr>
        <w:rPr>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843"/>
        <w:gridCol w:w="2126"/>
        <w:gridCol w:w="1985"/>
        <w:gridCol w:w="1559"/>
        <w:gridCol w:w="1418"/>
      </w:tblGrid>
      <w:tr w:rsidR="00D53DD1" w14:paraId="5E4B4FBA" w14:textId="7D032E11" w:rsidTr="001E635C">
        <w:tc>
          <w:tcPr>
            <w:tcW w:w="562" w:type="dxa"/>
          </w:tcPr>
          <w:p w14:paraId="605B9992" w14:textId="77777777" w:rsidR="00D53DD1" w:rsidRDefault="00D53DD1" w:rsidP="000E6026">
            <w:pPr>
              <w:rPr>
                <w:color w:val="FF0000"/>
              </w:rPr>
            </w:pPr>
          </w:p>
        </w:tc>
        <w:tc>
          <w:tcPr>
            <w:tcW w:w="1843" w:type="dxa"/>
            <w:vAlign w:val="center"/>
          </w:tcPr>
          <w:p w14:paraId="351F55F3" w14:textId="491F47A0" w:rsidR="00D53DD1" w:rsidRPr="000E6026" w:rsidRDefault="00D53DD1" w:rsidP="000E6026">
            <w:pPr>
              <w:rPr>
                <w:rFonts w:ascii="Verdana" w:hAnsi="Verdana"/>
              </w:rPr>
            </w:pPr>
            <w:r w:rsidRPr="000E6026">
              <w:rPr>
                <w:rFonts w:ascii="Verdana" w:hAnsi="Verdana"/>
                <w:b/>
              </w:rPr>
              <w:t>Performance Indicators</w:t>
            </w:r>
          </w:p>
        </w:tc>
        <w:tc>
          <w:tcPr>
            <w:tcW w:w="2126" w:type="dxa"/>
            <w:vAlign w:val="center"/>
          </w:tcPr>
          <w:p w14:paraId="0E3111F0" w14:textId="500B9094" w:rsidR="00D53DD1" w:rsidRPr="000E6026" w:rsidRDefault="00D53DD1" w:rsidP="000E6026">
            <w:pPr>
              <w:rPr>
                <w:rFonts w:ascii="Verdana" w:hAnsi="Verdana"/>
              </w:rPr>
            </w:pPr>
            <w:r w:rsidRPr="000E6026">
              <w:rPr>
                <w:rFonts w:ascii="Verdana" w:hAnsi="Verdana"/>
                <w:b/>
              </w:rPr>
              <w:t>Measure</w:t>
            </w:r>
          </w:p>
        </w:tc>
        <w:tc>
          <w:tcPr>
            <w:tcW w:w="1985" w:type="dxa"/>
            <w:vAlign w:val="center"/>
          </w:tcPr>
          <w:p w14:paraId="66B6543B" w14:textId="34D72345" w:rsidR="00D53DD1" w:rsidRPr="000E6026" w:rsidRDefault="00D53DD1" w:rsidP="00613224">
            <w:pPr>
              <w:jc w:val="center"/>
              <w:rPr>
                <w:rFonts w:ascii="Verdana" w:hAnsi="Verdana"/>
                <w:b/>
              </w:rPr>
            </w:pPr>
            <w:r>
              <w:rPr>
                <w:rFonts w:ascii="Verdana" w:hAnsi="Verdana"/>
                <w:b/>
              </w:rPr>
              <w:t>2018-19</w:t>
            </w:r>
          </w:p>
          <w:p w14:paraId="7BCA4CCC" w14:textId="77777777" w:rsidR="00D53DD1" w:rsidRPr="000E6026" w:rsidRDefault="00D53DD1" w:rsidP="00613224">
            <w:pPr>
              <w:jc w:val="center"/>
              <w:rPr>
                <w:rFonts w:ascii="Verdana" w:hAnsi="Verdana"/>
                <w:b/>
              </w:rPr>
            </w:pPr>
            <w:r w:rsidRPr="000E6026">
              <w:rPr>
                <w:rFonts w:ascii="Verdana" w:hAnsi="Verdana"/>
                <w:b/>
              </w:rPr>
              <w:t>Outcome</w:t>
            </w:r>
          </w:p>
          <w:p w14:paraId="0B89E2AE" w14:textId="61E69FB3" w:rsidR="00D53DD1" w:rsidRPr="000E6026" w:rsidRDefault="00D53DD1" w:rsidP="00613224">
            <w:pPr>
              <w:jc w:val="center"/>
              <w:rPr>
                <w:rFonts w:ascii="Verdana" w:hAnsi="Verdana"/>
              </w:rPr>
            </w:pPr>
          </w:p>
        </w:tc>
        <w:tc>
          <w:tcPr>
            <w:tcW w:w="1559" w:type="dxa"/>
            <w:vAlign w:val="center"/>
          </w:tcPr>
          <w:p w14:paraId="3084F081" w14:textId="44A11E44" w:rsidR="00D53DD1" w:rsidRPr="000E6026" w:rsidRDefault="00D53DD1" w:rsidP="00613224">
            <w:pPr>
              <w:jc w:val="center"/>
              <w:rPr>
                <w:rFonts w:ascii="Verdana" w:hAnsi="Verdana"/>
                <w:b/>
              </w:rPr>
            </w:pPr>
            <w:r w:rsidRPr="000E6026">
              <w:rPr>
                <w:rFonts w:ascii="Verdana" w:hAnsi="Verdana"/>
                <w:b/>
              </w:rPr>
              <w:t>201</w:t>
            </w:r>
            <w:r>
              <w:rPr>
                <w:rFonts w:ascii="Verdana" w:hAnsi="Verdana"/>
                <w:b/>
              </w:rPr>
              <w:t>9-20</w:t>
            </w:r>
            <w:r w:rsidRPr="000E6026">
              <w:rPr>
                <w:rFonts w:ascii="Verdana" w:hAnsi="Verdana"/>
                <w:b/>
              </w:rPr>
              <w:t xml:space="preserve"> Target</w:t>
            </w:r>
          </w:p>
          <w:p w14:paraId="43C9F36B" w14:textId="16E775FF" w:rsidR="00D53DD1" w:rsidRPr="000E6026" w:rsidRDefault="00D53DD1" w:rsidP="00613224">
            <w:pPr>
              <w:jc w:val="center"/>
              <w:rPr>
                <w:rFonts w:ascii="Verdana" w:hAnsi="Verdana"/>
              </w:rPr>
            </w:pPr>
            <w:r w:rsidRPr="000E6026">
              <w:rPr>
                <w:rFonts w:ascii="Verdana" w:hAnsi="Verdana"/>
                <w:b/>
              </w:rPr>
              <w:t>%</w:t>
            </w:r>
          </w:p>
        </w:tc>
        <w:tc>
          <w:tcPr>
            <w:tcW w:w="1418" w:type="dxa"/>
          </w:tcPr>
          <w:p w14:paraId="6289B88E" w14:textId="77777777" w:rsidR="00D53DD1" w:rsidRDefault="00606929" w:rsidP="00613224">
            <w:pPr>
              <w:jc w:val="center"/>
              <w:rPr>
                <w:rFonts w:ascii="Verdana" w:hAnsi="Verdana"/>
                <w:b/>
              </w:rPr>
            </w:pPr>
            <w:r>
              <w:rPr>
                <w:rFonts w:ascii="Verdana" w:hAnsi="Verdana"/>
                <w:b/>
              </w:rPr>
              <w:t>Feb 20</w:t>
            </w:r>
          </w:p>
          <w:p w14:paraId="7E0B2C6C" w14:textId="35572233" w:rsidR="00606929" w:rsidRPr="000E6026" w:rsidRDefault="00606929" w:rsidP="00613224">
            <w:pPr>
              <w:jc w:val="center"/>
              <w:rPr>
                <w:rFonts w:ascii="Verdana" w:hAnsi="Verdana"/>
                <w:b/>
              </w:rPr>
            </w:pPr>
            <w:r>
              <w:rPr>
                <w:rFonts w:ascii="Verdana" w:hAnsi="Verdana"/>
                <w:b/>
              </w:rPr>
              <w:t>Update</w:t>
            </w:r>
          </w:p>
        </w:tc>
      </w:tr>
      <w:tr w:rsidR="00D53DD1" w14:paraId="22EE543E" w14:textId="77777777" w:rsidTr="001E635C">
        <w:tc>
          <w:tcPr>
            <w:tcW w:w="562" w:type="dxa"/>
          </w:tcPr>
          <w:p w14:paraId="7E45AB00" w14:textId="77777777" w:rsidR="00D53DD1" w:rsidRDefault="00D53DD1" w:rsidP="00613224">
            <w:pPr>
              <w:rPr>
                <w:color w:val="FF0000"/>
              </w:rPr>
            </w:pPr>
          </w:p>
        </w:tc>
        <w:tc>
          <w:tcPr>
            <w:tcW w:w="1843" w:type="dxa"/>
          </w:tcPr>
          <w:p w14:paraId="584EB635" w14:textId="77777777" w:rsidR="00D53DD1" w:rsidRDefault="00D53DD1" w:rsidP="00613224">
            <w:pPr>
              <w:rPr>
                <w:rFonts w:ascii="Verdana" w:hAnsi="Verdana"/>
              </w:rPr>
            </w:pPr>
            <w:r w:rsidRPr="000E6026">
              <w:rPr>
                <w:rFonts w:ascii="Verdana" w:hAnsi="Verdana"/>
              </w:rPr>
              <w:t>External progression</w:t>
            </w:r>
          </w:p>
          <w:p w14:paraId="51BE1503" w14:textId="3FB9DC8C" w:rsidR="00D53DD1" w:rsidRPr="000E6026" w:rsidRDefault="00D53DD1" w:rsidP="00613224">
            <w:pPr>
              <w:rPr>
                <w:rFonts w:ascii="Verdana" w:hAnsi="Verdana"/>
              </w:rPr>
            </w:pPr>
          </w:p>
        </w:tc>
        <w:tc>
          <w:tcPr>
            <w:tcW w:w="2126" w:type="dxa"/>
          </w:tcPr>
          <w:p w14:paraId="04CC2C68" w14:textId="77777777" w:rsidR="00D53DD1" w:rsidRDefault="00D53DD1" w:rsidP="00613224">
            <w:pPr>
              <w:rPr>
                <w:rFonts w:ascii="Verdana" w:hAnsi="Verdana"/>
              </w:rPr>
            </w:pPr>
            <w:r w:rsidRPr="00606929">
              <w:rPr>
                <w:rFonts w:ascii="Verdana" w:hAnsi="Verdana"/>
              </w:rPr>
              <w:t xml:space="preserve">% of </w:t>
            </w:r>
            <w:r w:rsidR="00606929">
              <w:rPr>
                <w:rFonts w:ascii="Verdana" w:hAnsi="Verdana"/>
              </w:rPr>
              <w:t>stude</w:t>
            </w:r>
            <w:r w:rsidRPr="00606929">
              <w:rPr>
                <w:rFonts w:ascii="Verdana" w:hAnsi="Verdana"/>
              </w:rPr>
              <w:t>nts progressing successfully to their first choice of HE institution</w:t>
            </w:r>
          </w:p>
          <w:p w14:paraId="0438F13B" w14:textId="164233DC" w:rsidR="00606929" w:rsidRPr="00606929" w:rsidRDefault="00606929" w:rsidP="00613224">
            <w:pPr>
              <w:rPr>
                <w:rFonts w:ascii="Verdana" w:hAnsi="Verdana"/>
              </w:rPr>
            </w:pPr>
          </w:p>
        </w:tc>
        <w:tc>
          <w:tcPr>
            <w:tcW w:w="1985" w:type="dxa"/>
          </w:tcPr>
          <w:p w14:paraId="178B0F72" w14:textId="3FC2D75F" w:rsidR="00D53DD1" w:rsidRDefault="00606929" w:rsidP="00613224">
            <w:pPr>
              <w:jc w:val="center"/>
              <w:rPr>
                <w:rFonts w:ascii="Verdana" w:hAnsi="Verdana"/>
              </w:rPr>
            </w:pPr>
            <w:r>
              <w:rPr>
                <w:rFonts w:ascii="Verdana" w:hAnsi="Verdana"/>
              </w:rPr>
              <w:t>69%</w:t>
            </w:r>
          </w:p>
        </w:tc>
        <w:tc>
          <w:tcPr>
            <w:tcW w:w="1559" w:type="dxa"/>
          </w:tcPr>
          <w:p w14:paraId="4CDC45EE" w14:textId="0D38C7DA" w:rsidR="00D53DD1" w:rsidRPr="00EA2CE0" w:rsidRDefault="00606929" w:rsidP="00613224">
            <w:pPr>
              <w:jc w:val="center"/>
              <w:rPr>
                <w:rFonts w:ascii="Verdana" w:hAnsi="Verdana"/>
              </w:rPr>
            </w:pPr>
            <w:r>
              <w:rPr>
                <w:rFonts w:ascii="Verdana" w:hAnsi="Verdana"/>
              </w:rPr>
              <w:t>70%</w:t>
            </w:r>
          </w:p>
        </w:tc>
        <w:tc>
          <w:tcPr>
            <w:tcW w:w="1418" w:type="dxa"/>
          </w:tcPr>
          <w:p w14:paraId="39739A2C" w14:textId="6A15CE97" w:rsidR="00D53DD1" w:rsidRPr="00EA2CE0" w:rsidRDefault="00606929" w:rsidP="00613224">
            <w:pPr>
              <w:jc w:val="center"/>
              <w:rPr>
                <w:rFonts w:ascii="Verdana" w:hAnsi="Verdana"/>
              </w:rPr>
            </w:pPr>
            <w:r>
              <w:rPr>
                <w:rFonts w:ascii="Verdana" w:hAnsi="Verdana"/>
              </w:rPr>
              <w:t>-</w:t>
            </w:r>
          </w:p>
        </w:tc>
      </w:tr>
      <w:tr w:rsidR="00D53DD1" w14:paraId="4E9BDD91" w14:textId="706C37BC" w:rsidTr="001E635C">
        <w:tc>
          <w:tcPr>
            <w:tcW w:w="562" w:type="dxa"/>
          </w:tcPr>
          <w:p w14:paraId="26698C02" w14:textId="77777777" w:rsidR="00D53DD1" w:rsidRDefault="00D53DD1" w:rsidP="00613224">
            <w:pPr>
              <w:rPr>
                <w:color w:val="FF0000"/>
              </w:rPr>
            </w:pPr>
          </w:p>
        </w:tc>
        <w:tc>
          <w:tcPr>
            <w:tcW w:w="1843" w:type="dxa"/>
          </w:tcPr>
          <w:p w14:paraId="3A2CEF16" w14:textId="772977CF" w:rsidR="00D53DD1" w:rsidRPr="000E6026" w:rsidRDefault="00D53DD1" w:rsidP="00613224">
            <w:pPr>
              <w:rPr>
                <w:rFonts w:ascii="Verdana" w:hAnsi="Verdana"/>
                <w:color w:val="FF0000"/>
              </w:rPr>
            </w:pPr>
            <w:r w:rsidRPr="000E6026">
              <w:rPr>
                <w:rFonts w:ascii="Verdana" w:hAnsi="Verdana"/>
              </w:rPr>
              <w:t xml:space="preserve">External progression </w:t>
            </w:r>
          </w:p>
        </w:tc>
        <w:tc>
          <w:tcPr>
            <w:tcW w:w="2126" w:type="dxa"/>
          </w:tcPr>
          <w:p w14:paraId="388EB282" w14:textId="40CD743A" w:rsidR="00D53DD1" w:rsidRDefault="00D53DD1" w:rsidP="00613224">
            <w:pPr>
              <w:rPr>
                <w:rFonts w:ascii="Verdana" w:hAnsi="Verdana"/>
              </w:rPr>
            </w:pPr>
            <w:r w:rsidRPr="000E6026">
              <w:rPr>
                <w:rFonts w:ascii="Verdana" w:hAnsi="Verdana"/>
              </w:rPr>
              <w:t>% of students progressing to employment, apprenticeship and HE in a related sector</w:t>
            </w:r>
            <w:r>
              <w:rPr>
                <w:rFonts w:ascii="Verdana" w:hAnsi="Verdana"/>
              </w:rPr>
              <w:t>.</w:t>
            </w:r>
          </w:p>
          <w:p w14:paraId="68DCE7F8" w14:textId="01E490AB" w:rsidR="00D53DD1" w:rsidRPr="000E6026" w:rsidRDefault="00D53DD1" w:rsidP="00613224">
            <w:pPr>
              <w:rPr>
                <w:rFonts w:ascii="Verdana" w:hAnsi="Verdana"/>
                <w:color w:val="FF0000"/>
              </w:rPr>
            </w:pPr>
          </w:p>
        </w:tc>
        <w:tc>
          <w:tcPr>
            <w:tcW w:w="1985" w:type="dxa"/>
          </w:tcPr>
          <w:p w14:paraId="076F6F8D" w14:textId="61491FC6" w:rsidR="00606929" w:rsidRDefault="00D53DD1" w:rsidP="00606929">
            <w:pPr>
              <w:jc w:val="center"/>
              <w:rPr>
                <w:rFonts w:ascii="Verdana" w:hAnsi="Verdana"/>
              </w:rPr>
            </w:pPr>
            <w:r>
              <w:rPr>
                <w:rFonts w:ascii="Verdana" w:hAnsi="Verdana"/>
              </w:rPr>
              <w:t>8</w:t>
            </w:r>
            <w:r w:rsidR="00606929">
              <w:rPr>
                <w:rFonts w:ascii="Verdana" w:hAnsi="Verdana"/>
              </w:rPr>
              <w:t>9</w:t>
            </w:r>
            <w:r w:rsidRPr="000E6026">
              <w:rPr>
                <w:rFonts w:ascii="Verdana" w:hAnsi="Verdana"/>
              </w:rPr>
              <w:t>%</w:t>
            </w:r>
            <w:r>
              <w:rPr>
                <w:rFonts w:ascii="Verdana" w:hAnsi="Verdana"/>
              </w:rPr>
              <w:t xml:space="preserve"> </w:t>
            </w:r>
          </w:p>
          <w:p w14:paraId="5F64F46C" w14:textId="2A8B9D13" w:rsidR="00D53DD1" w:rsidRDefault="00D53DD1" w:rsidP="00613224">
            <w:pPr>
              <w:jc w:val="center"/>
              <w:rPr>
                <w:rFonts w:ascii="Verdana" w:hAnsi="Verdana"/>
              </w:rPr>
            </w:pPr>
          </w:p>
          <w:p w14:paraId="7DBC1225" w14:textId="7338A6D3" w:rsidR="00D53DD1" w:rsidRPr="000E6026" w:rsidRDefault="00D53DD1" w:rsidP="00613224">
            <w:pPr>
              <w:jc w:val="center"/>
              <w:rPr>
                <w:rFonts w:ascii="Verdana" w:hAnsi="Verdana"/>
                <w:color w:val="FF0000"/>
              </w:rPr>
            </w:pPr>
          </w:p>
        </w:tc>
        <w:tc>
          <w:tcPr>
            <w:tcW w:w="1559" w:type="dxa"/>
          </w:tcPr>
          <w:p w14:paraId="33111BB7" w14:textId="3A3C7C86" w:rsidR="00D53DD1" w:rsidRPr="00EA2CE0" w:rsidRDefault="00606929" w:rsidP="00613224">
            <w:pPr>
              <w:jc w:val="center"/>
              <w:rPr>
                <w:rFonts w:ascii="Verdana" w:hAnsi="Verdana"/>
              </w:rPr>
            </w:pPr>
            <w:r>
              <w:rPr>
                <w:rFonts w:ascii="Verdana" w:hAnsi="Verdana"/>
              </w:rPr>
              <w:t>90%</w:t>
            </w:r>
          </w:p>
        </w:tc>
        <w:tc>
          <w:tcPr>
            <w:tcW w:w="1418" w:type="dxa"/>
          </w:tcPr>
          <w:p w14:paraId="02A31213" w14:textId="3D81EF5B" w:rsidR="00D53DD1" w:rsidRPr="00EA2CE0" w:rsidRDefault="00606929" w:rsidP="00613224">
            <w:pPr>
              <w:jc w:val="center"/>
              <w:rPr>
                <w:rFonts w:ascii="Verdana" w:hAnsi="Verdana"/>
              </w:rPr>
            </w:pPr>
            <w:r>
              <w:rPr>
                <w:rFonts w:ascii="Verdana" w:hAnsi="Verdana"/>
              </w:rPr>
              <w:t>-</w:t>
            </w:r>
          </w:p>
        </w:tc>
      </w:tr>
      <w:tr w:rsidR="00D53DD1" w14:paraId="01B290C1" w14:textId="27BDE801" w:rsidTr="001E635C">
        <w:tc>
          <w:tcPr>
            <w:tcW w:w="562" w:type="dxa"/>
          </w:tcPr>
          <w:p w14:paraId="4C8FF03F" w14:textId="77777777" w:rsidR="00D53DD1" w:rsidRDefault="00D53DD1" w:rsidP="00613224">
            <w:pPr>
              <w:rPr>
                <w:color w:val="FF0000"/>
              </w:rPr>
            </w:pPr>
          </w:p>
        </w:tc>
        <w:tc>
          <w:tcPr>
            <w:tcW w:w="1843" w:type="dxa"/>
          </w:tcPr>
          <w:p w14:paraId="4900824B" w14:textId="02A45092" w:rsidR="00D53DD1" w:rsidRPr="000E6026" w:rsidRDefault="00D53DD1" w:rsidP="00613224">
            <w:pPr>
              <w:rPr>
                <w:rFonts w:ascii="Verdana" w:hAnsi="Verdana"/>
                <w:color w:val="FF0000"/>
              </w:rPr>
            </w:pPr>
            <w:r w:rsidRPr="000E6026">
              <w:rPr>
                <w:rFonts w:ascii="Verdana" w:hAnsi="Verdana"/>
              </w:rPr>
              <w:t>External progression</w:t>
            </w:r>
          </w:p>
        </w:tc>
        <w:tc>
          <w:tcPr>
            <w:tcW w:w="2126" w:type="dxa"/>
          </w:tcPr>
          <w:p w14:paraId="5A7811B0" w14:textId="77777777" w:rsidR="00D53DD1" w:rsidRDefault="00D53DD1" w:rsidP="00613224">
            <w:pPr>
              <w:rPr>
                <w:rFonts w:ascii="Verdana" w:hAnsi="Verdana"/>
              </w:rPr>
            </w:pPr>
            <w:r w:rsidRPr="000E6026">
              <w:rPr>
                <w:rFonts w:ascii="Verdana" w:hAnsi="Verdana"/>
              </w:rPr>
              <w:t>% of students progressing to Russell group out of those who progressed to HE</w:t>
            </w:r>
            <w:r>
              <w:rPr>
                <w:rFonts w:ascii="Verdana" w:hAnsi="Verdana"/>
              </w:rPr>
              <w:t>.</w:t>
            </w:r>
          </w:p>
          <w:p w14:paraId="3393562E" w14:textId="7A383C8E" w:rsidR="00606929" w:rsidRPr="000E6026" w:rsidRDefault="00606929" w:rsidP="00613224">
            <w:pPr>
              <w:rPr>
                <w:rFonts w:ascii="Verdana" w:hAnsi="Verdana"/>
                <w:color w:val="FF0000"/>
              </w:rPr>
            </w:pPr>
          </w:p>
        </w:tc>
        <w:tc>
          <w:tcPr>
            <w:tcW w:w="1985" w:type="dxa"/>
          </w:tcPr>
          <w:p w14:paraId="365E01DF" w14:textId="71919CC6" w:rsidR="00D53DD1" w:rsidRPr="000E6026" w:rsidRDefault="00D53DD1" w:rsidP="00606929">
            <w:pPr>
              <w:jc w:val="center"/>
              <w:rPr>
                <w:rFonts w:ascii="Verdana" w:hAnsi="Verdana"/>
                <w:color w:val="FF0000"/>
              </w:rPr>
            </w:pPr>
            <w:r w:rsidRPr="000E6026">
              <w:rPr>
                <w:rFonts w:ascii="Verdana" w:hAnsi="Verdana"/>
              </w:rPr>
              <w:t>1</w:t>
            </w:r>
            <w:r w:rsidR="00606929">
              <w:rPr>
                <w:rFonts w:ascii="Verdana" w:hAnsi="Verdana"/>
              </w:rPr>
              <w:t>4</w:t>
            </w:r>
            <w:r w:rsidRPr="000E6026">
              <w:rPr>
                <w:rFonts w:ascii="Verdana" w:hAnsi="Verdana"/>
              </w:rPr>
              <w:t>%</w:t>
            </w:r>
            <w:r>
              <w:rPr>
                <w:rFonts w:ascii="Verdana" w:hAnsi="Verdana"/>
              </w:rPr>
              <w:t xml:space="preserve"> </w:t>
            </w:r>
          </w:p>
        </w:tc>
        <w:tc>
          <w:tcPr>
            <w:tcW w:w="1559" w:type="dxa"/>
          </w:tcPr>
          <w:p w14:paraId="4F7A95B6" w14:textId="12CA567B" w:rsidR="00D53DD1" w:rsidRPr="00EA2CE0" w:rsidRDefault="00606929" w:rsidP="00613224">
            <w:pPr>
              <w:jc w:val="center"/>
              <w:rPr>
                <w:rFonts w:ascii="Verdana" w:hAnsi="Verdana"/>
              </w:rPr>
            </w:pPr>
            <w:r>
              <w:rPr>
                <w:rFonts w:ascii="Verdana" w:hAnsi="Verdana"/>
              </w:rPr>
              <w:t>15%</w:t>
            </w:r>
          </w:p>
        </w:tc>
        <w:tc>
          <w:tcPr>
            <w:tcW w:w="1418" w:type="dxa"/>
          </w:tcPr>
          <w:p w14:paraId="3B7A3B2A" w14:textId="7764604E" w:rsidR="00D53DD1" w:rsidRPr="00EA2CE0" w:rsidRDefault="00606929" w:rsidP="00613224">
            <w:pPr>
              <w:jc w:val="center"/>
              <w:rPr>
                <w:rFonts w:ascii="Verdana" w:hAnsi="Verdana"/>
              </w:rPr>
            </w:pPr>
            <w:r>
              <w:rPr>
                <w:rFonts w:ascii="Verdana" w:hAnsi="Verdana"/>
              </w:rPr>
              <w:t>-</w:t>
            </w:r>
          </w:p>
        </w:tc>
      </w:tr>
      <w:tr w:rsidR="00D53DD1" w14:paraId="70C1B8D9" w14:textId="3CF6C156" w:rsidTr="001E635C">
        <w:tc>
          <w:tcPr>
            <w:tcW w:w="562" w:type="dxa"/>
          </w:tcPr>
          <w:p w14:paraId="3A67F403" w14:textId="77777777" w:rsidR="00D53DD1" w:rsidRDefault="00D53DD1" w:rsidP="00613224">
            <w:pPr>
              <w:rPr>
                <w:color w:val="FF0000"/>
              </w:rPr>
            </w:pPr>
          </w:p>
        </w:tc>
        <w:tc>
          <w:tcPr>
            <w:tcW w:w="1843" w:type="dxa"/>
          </w:tcPr>
          <w:p w14:paraId="4108DDE6" w14:textId="6A82A5E9" w:rsidR="00D53DD1" w:rsidRPr="000E6026" w:rsidRDefault="00D53DD1" w:rsidP="00613224">
            <w:pPr>
              <w:rPr>
                <w:rFonts w:ascii="Verdana" w:hAnsi="Verdana"/>
                <w:color w:val="FF0000"/>
              </w:rPr>
            </w:pPr>
            <w:r w:rsidRPr="000E6026">
              <w:rPr>
                <w:rFonts w:ascii="Verdana" w:hAnsi="Verdana"/>
              </w:rPr>
              <w:t>Work experience</w:t>
            </w:r>
          </w:p>
        </w:tc>
        <w:tc>
          <w:tcPr>
            <w:tcW w:w="2126" w:type="dxa"/>
          </w:tcPr>
          <w:p w14:paraId="64477E7B" w14:textId="77777777" w:rsidR="00D53DD1" w:rsidRDefault="00D53DD1" w:rsidP="00613224">
            <w:pPr>
              <w:rPr>
                <w:rFonts w:ascii="Verdana" w:hAnsi="Verdana"/>
              </w:rPr>
            </w:pPr>
            <w:r w:rsidRPr="000E6026">
              <w:rPr>
                <w:rFonts w:ascii="Verdana" w:hAnsi="Verdana"/>
              </w:rPr>
              <w:t>% of L2 &amp; L3 Voc. students undertaking work experience</w:t>
            </w:r>
            <w:r>
              <w:rPr>
                <w:rFonts w:ascii="Verdana" w:hAnsi="Verdana"/>
              </w:rPr>
              <w:t>.</w:t>
            </w:r>
          </w:p>
          <w:p w14:paraId="0C35A3FD" w14:textId="436712C2" w:rsidR="00606929" w:rsidRPr="000E6026" w:rsidRDefault="00606929" w:rsidP="00613224">
            <w:pPr>
              <w:rPr>
                <w:rFonts w:ascii="Verdana" w:hAnsi="Verdana"/>
                <w:color w:val="FF0000"/>
              </w:rPr>
            </w:pPr>
          </w:p>
        </w:tc>
        <w:tc>
          <w:tcPr>
            <w:tcW w:w="1985" w:type="dxa"/>
          </w:tcPr>
          <w:p w14:paraId="135D4980" w14:textId="77777777" w:rsidR="00D53DD1" w:rsidRDefault="00D53DD1" w:rsidP="00613224">
            <w:pPr>
              <w:jc w:val="center"/>
              <w:rPr>
                <w:rFonts w:ascii="Verdana" w:hAnsi="Verdana"/>
              </w:rPr>
            </w:pPr>
            <w:r>
              <w:rPr>
                <w:rFonts w:ascii="Verdana" w:hAnsi="Verdana"/>
              </w:rPr>
              <w:t>56</w:t>
            </w:r>
            <w:r w:rsidRPr="000E6026">
              <w:rPr>
                <w:rFonts w:ascii="Verdana" w:hAnsi="Verdana"/>
              </w:rPr>
              <w:t>%</w:t>
            </w:r>
            <w:r>
              <w:rPr>
                <w:rFonts w:ascii="Verdana" w:hAnsi="Verdana"/>
              </w:rPr>
              <w:t xml:space="preserve">  </w:t>
            </w:r>
          </w:p>
          <w:p w14:paraId="4B5AC2C2" w14:textId="25CC2501" w:rsidR="00D53DD1" w:rsidRDefault="00D53DD1" w:rsidP="00613224">
            <w:pPr>
              <w:jc w:val="center"/>
              <w:rPr>
                <w:rFonts w:ascii="Verdana" w:hAnsi="Verdana"/>
              </w:rPr>
            </w:pPr>
          </w:p>
          <w:p w14:paraId="00E0D5D0" w14:textId="55CD985B" w:rsidR="00D53DD1" w:rsidRPr="000E6026" w:rsidRDefault="00D53DD1" w:rsidP="00613224">
            <w:pPr>
              <w:jc w:val="center"/>
              <w:rPr>
                <w:rFonts w:ascii="Verdana" w:hAnsi="Verdana"/>
                <w:color w:val="FF0000"/>
              </w:rPr>
            </w:pPr>
          </w:p>
        </w:tc>
        <w:tc>
          <w:tcPr>
            <w:tcW w:w="1559" w:type="dxa"/>
          </w:tcPr>
          <w:p w14:paraId="4C77492E" w14:textId="5B6C87D6" w:rsidR="00D53DD1" w:rsidRPr="000E6026" w:rsidRDefault="00D53DD1" w:rsidP="00613224">
            <w:pPr>
              <w:jc w:val="center"/>
              <w:rPr>
                <w:rFonts w:ascii="Verdana" w:hAnsi="Verdana"/>
                <w:color w:val="FF0000"/>
              </w:rPr>
            </w:pPr>
            <w:r w:rsidRPr="00734AAC">
              <w:rPr>
                <w:rFonts w:ascii="Verdana" w:hAnsi="Verdana"/>
              </w:rPr>
              <w:t>80%</w:t>
            </w:r>
          </w:p>
        </w:tc>
        <w:tc>
          <w:tcPr>
            <w:tcW w:w="1418" w:type="dxa"/>
          </w:tcPr>
          <w:p w14:paraId="6163CAF2" w14:textId="6F4720F9" w:rsidR="00D53DD1" w:rsidRPr="00734AAC" w:rsidRDefault="00606929" w:rsidP="00613224">
            <w:pPr>
              <w:jc w:val="center"/>
              <w:rPr>
                <w:rFonts w:ascii="Verdana" w:hAnsi="Verdana"/>
              </w:rPr>
            </w:pPr>
            <w:r>
              <w:rPr>
                <w:rFonts w:ascii="Verdana" w:hAnsi="Verdana"/>
              </w:rPr>
              <w:t>49% (current)</w:t>
            </w:r>
          </w:p>
        </w:tc>
      </w:tr>
      <w:tr w:rsidR="00D53DD1" w14:paraId="0FD097B4" w14:textId="60989D0D" w:rsidTr="001E635C">
        <w:tc>
          <w:tcPr>
            <w:tcW w:w="562" w:type="dxa"/>
          </w:tcPr>
          <w:p w14:paraId="52DD50BF" w14:textId="77777777" w:rsidR="00D53DD1" w:rsidRDefault="00D53DD1" w:rsidP="00613224">
            <w:pPr>
              <w:rPr>
                <w:color w:val="FF0000"/>
              </w:rPr>
            </w:pPr>
          </w:p>
        </w:tc>
        <w:tc>
          <w:tcPr>
            <w:tcW w:w="1843" w:type="dxa"/>
          </w:tcPr>
          <w:p w14:paraId="0F6F893B" w14:textId="4158AB90" w:rsidR="00D53DD1" w:rsidRPr="000E6026" w:rsidRDefault="00D53DD1" w:rsidP="00613224">
            <w:pPr>
              <w:rPr>
                <w:rFonts w:ascii="Verdana" w:hAnsi="Verdana"/>
                <w:color w:val="FF0000"/>
              </w:rPr>
            </w:pPr>
            <w:r w:rsidRPr="000E6026">
              <w:rPr>
                <w:rFonts w:ascii="Verdana" w:hAnsi="Verdana"/>
              </w:rPr>
              <w:t xml:space="preserve">Student feedback </w:t>
            </w:r>
          </w:p>
        </w:tc>
        <w:tc>
          <w:tcPr>
            <w:tcW w:w="2126" w:type="dxa"/>
          </w:tcPr>
          <w:p w14:paraId="7FB94579" w14:textId="01AB23E1" w:rsidR="00D53DD1" w:rsidRDefault="00D53DD1" w:rsidP="00613224">
            <w:pPr>
              <w:rPr>
                <w:rFonts w:ascii="Verdana" w:hAnsi="Verdana"/>
              </w:rPr>
            </w:pPr>
            <w:r w:rsidRPr="000E6026">
              <w:rPr>
                <w:rFonts w:ascii="Verdana" w:hAnsi="Verdana"/>
              </w:rPr>
              <w:t>% of students who would recommend SGMC to a friend (QDP)</w:t>
            </w:r>
            <w:r>
              <w:rPr>
                <w:rFonts w:ascii="Verdana" w:hAnsi="Verdana"/>
              </w:rPr>
              <w:t>.</w:t>
            </w:r>
          </w:p>
          <w:p w14:paraId="44F047BE" w14:textId="75776060" w:rsidR="00D53DD1" w:rsidRPr="000E6026" w:rsidRDefault="00D53DD1" w:rsidP="00613224">
            <w:pPr>
              <w:rPr>
                <w:rFonts w:ascii="Verdana" w:hAnsi="Verdana"/>
                <w:color w:val="FF0000"/>
              </w:rPr>
            </w:pPr>
          </w:p>
        </w:tc>
        <w:tc>
          <w:tcPr>
            <w:tcW w:w="1985" w:type="dxa"/>
          </w:tcPr>
          <w:p w14:paraId="3F21AA86" w14:textId="77777777" w:rsidR="00D53DD1" w:rsidRDefault="00D53DD1" w:rsidP="00613224">
            <w:pPr>
              <w:jc w:val="center"/>
              <w:rPr>
                <w:rFonts w:ascii="Verdana" w:hAnsi="Verdana"/>
              </w:rPr>
            </w:pPr>
            <w:r w:rsidRPr="000E6026">
              <w:rPr>
                <w:rFonts w:ascii="Verdana" w:hAnsi="Verdana"/>
              </w:rPr>
              <w:t>82%</w:t>
            </w:r>
          </w:p>
          <w:p w14:paraId="52C389C0" w14:textId="208D07D1" w:rsidR="00D53DD1" w:rsidRDefault="00D53DD1" w:rsidP="00613224">
            <w:pPr>
              <w:jc w:val="center"/>
              <w:rPr>
                <w:rFonts w:ascii="Verdana" w:hAnsi="Verdana"/>
              </w:rPr>
            </w:pPr>
          </w:p>
          <w:p w14:paraId="50FD1D6A" w14:textId="41A84730" w:rsidR="00D53DD1" w:rsidRPr="000E6026" w:rsidRDefault="00D53DD1" w:rsidP="00613224">
            <w:pPr>
              <w:jc w:val="center"/>
              <w:rPr>
                <w:rFonts w:ascii="Verdana" w:hAnsi="Verdana"/>
                <w:color w:val="FF0000"/>
              </w:rPr>
            </w:pPr>
          </w:p>
        </w:tc>
        <w:tc>
          <w:tcPr>
            <w:tcW w:w="1559" w:type="dxa"/>
          </w:tcPr>
          <w:p w14:paraId="195E39BC" w14:textId="7824F268" w:rsidR="00D53DD1" w:rsidRPr="00734AAC" w:rsidRDefault="00D53DD1" w:rsidP="00613224">
            <w:pPr>
              <w:jc w:val="center"/>
              <w:rPr>
                <w:rFonts w:ascii="Verdana" w:hAnsi="Verdana"/>
              </w:rPr>
            </w:pPr>
            <w:r w:rsidRPr="00734AAC">
              <w:rPr>
                <w:rFonts w:ascii="Verdana" w:hAnsi="Verdana"/>
              </w:rPr>
              <w:t>85%</w:t>
            </w:r>
          </w:p>
        </w:tc>
        <w:tc>
          <w:tcPr>
            <w:tcW w:w="1418" w:type="dxa"/>
          </w:tcPr>
          <w:p w14:paraId="59CDDC4E" w14:textId="09807820" w:rsidR="00D53DD1" w:rsidRPr="00734AAC" w:rsidRDefault="00606929" w:rsidP="00613224">
            <w:pPr>
              <w:jc w:val="center"/>
              <w:rPr>
                <w:rFonts w:ascii="Verdana" w:hAnsi="Verdana"/>
              </w:rPr>
            </w:pPr>
            <w:r>
              <w:rPr>
                <w:rFonts w:ascii="Verdana" w:hAnsi="Verdana"/>
              </w:rPr>
              <w:t>90%</w:t>
            </w:r>
          </w:p>
        </w:tc>
      </w:tr>
      <w:tr w:rsidR="00D53DD1" w14:paraId="1463F58B" w14:textId="548F19A9" w:rsidTr="001E635C">
        <w:tc>
          <w:tcPr>
            <w:tcW w:w="562" w:type="dxa"/>
          </w:tcPr>
          <w:p w14:paraId="50588EE9" w14:textId="77777777" w:rsidR="00D53DD1" w:rsidRDefault="00D53DD1" w:rsidP="00613224">
            <w:pPr>
              <w:rPr>
                <w:color w:val="FF0000"/>
              </w:rPr>
            </w:pPr>
          </w:p>
        </w:tc>
        <w:tc>
          <w:tcPr>
            <w:tcW w:w="1843" w:type="dxa"/>
          </w:tcPr>
          <w:p w14:paraId="706F5529" w14:textId="7F3A84B8" w:rsidR="00D53DD1" w:rsidRPr="000E6026" w:rsidRDefault="00D53DD1" w:rsidP="00613224">
            <w:pPr>
              <w:rPr>
                <w:rFonts w:ascii="Verdana" w:hAnsi="Verdana"/>
                <w:color w:val="FF0000"/>
              </w:rPr>
            </w:pPr>
            <w:r w:rsidRPr="000E6026">
              <w:rPr>
                <w:rFonts w:ascii="Verdana" w:hAnsi="Verdana"/>
              </w:rPr>
              <w:t>Student feedback</w:t>
            </w:r>
          </w:p>
        </w:tc>
        <w:tc>
          <w:tcPr>
            <w:tcW w:w="2126" w:type="dxa"/>
          </w:tcPr>
          <w:p w14:paraId="65DB5F56" w14:textId="22827B3F" w:rsidR="00D53DD1" w:rsidRPr="000E6026" w:rsidRDefault="00D53DD1" w:rsidP="00613224">
            <w:pPr>
              <w:rPr>
                <w:rFonts w:ascii="Verdana" w:hAnsi="Verdana"/>
              </w:rPr>
            </w:pPr>
            <w:r w:rsidRPr="000E6026">
              <w:rPr>
                <w:rFonts w:ascii="Verdana" w:hAnsi="Verdana"/>
              </w:rPr>
              <w:t>% of students who feel safe at college</w:t>
            </w:r>
            <w:r>
              <w:rPr>
                <w:rFonts w:ascii="Verdana" w:hAnsi="Verdana"/>
              </w:rPr>
              <w:t>.</w:t>
            </w:r>
          </w:p>
          <w:p w14:paraId="7A2301E6" w14:textId="77777777" w:rsidR="00D53DD1" w:rsidRPr="000E6026" w:rsidRDefault="00D53DD1" w:rsidP="00613224">
            <w:pPr>
              <w:rPr>
                <w:rFonts w:ascii="Verdana" w:hAnsi="Verdana"/>
                <w:color w:val="FF0000"/>
              </w:rPr>
            </w:pPr>
          </w:p>
        </w:tc>
        <w:tc>
          <w:tcPr>
            <w:tcW w:w="1985" w:type="dxa"/>
          </w:tcPr>
          <w:p w14:paraId="2DD20A69" w14:textId="77777777" w:rsidR="00D53DD1" w:rsidRDefault="00D53DD1" w:rsidP="00613224">
            <w:pPr>
              <w:jc w:val="center"/>
              <w:rPr>
                <w:rFonts w:ascii="Verdana" w:hAnsi="Verdana"/>
              </w:rPr>
            </w:pPr>
            <w:r w:rsidRPr="000E6026">
              <w:rPr>
                <w:rFonts w:ascii="Verdana" w:hAnsi="Verdana"/>
              </w:rPr>
              <w:t>8</w:t>
            </w:r>
            <w:r>
              <w:rPr>
                <w:rFonts w:ascii="Verdana" w:hAnsi="Verdana"/>
              </w:rPr>
              <w:t>8</w:t>
            </w:r>
            <w:r w:rsidRPr="000E6026">
              <w:rPr>
                <w:rFonts w:ascii="Verdana" w:hAnsi="Verdana"/>
              </w:rPr>
              <w:t>%</w:t>
            </w:r>
          </w:p>
          <w:p w14:paraId="2C0CC613" w14:textId="0003D369" w:rsidR="00D53DD1" w:rsidRPr="000E6026" w:rsidRDefault="00D53DD1" w:rsidP="00606929">
            <w:pPr>
              <w:jc w:val="center"/>
              <w:rPr>
                <w:rFonts w:ascii="Verdana" w:hAnsi="Verdana"/>
                <w:color w:val="FF0000"/>
              </w:rPr>
            </w:pPr>
          </w:p>
        </w:tc>
        <w:tc>
          <w:tcPr>
            <w:tcW w:w="1559" w:type="dxa"/>
          </w:tcPr>
          <w:p w14:paraId="01178193" w14:textId="0DC23922" w:rsidR="00D53DD1" w:rsidRPr="00734AAC" w:rsidRDefault="00D53DD1" w:rsidP="00613224">
            <w:pPr>
              <w:jc w:val="center"/>
              <w:rPr>
                <w:rFonts w:ascii="Verdana" w:hAnsi="Verdana"/>
              </w:rPr>
            </w:pPr>
            <w:r w:rsidRPr="00734AAC">
              <w:rPr>
                <w:rFonts w:ascii="Verdana" w:hAnsi="Verdana"/>
              </w:rPr>
              <w:t>95%</w:t>
            </w:r>
          </w:p>
        </w:tc>
        <w:tc>
          <w:tcPr>
            <w:tcW w:w="1418" w:type="dxa"/>
          </w:tcPr>
          <w:p w14:paraId="10D85079" w14:textId="549915BE" w:rsidR="00D53DD1" w:rsidRPr="00734AAC" w:rsidRDefault="00606929" w:rsidP="00613224">
            <w:pPr>
              <w:jc w:val="center"/>
              <w:rPr>
                <w:rFonts w:ascii="Verdana" w:hAnsi="Verdana"/>
              </w:rPr>
            </w:pPr>
            <w:r>
              <w:rPr>
                <w:rFonts w:ascii="Verdana" w:hAnsi="Verdana"/>
              </w:rPr>
              <w:t>94%</w:t>
            </w:r>
          </w:p>
        </w:tc>
      </w:tr>
      <w:tr w:rsidR="00D53DD1" w14:paraId="4326B39F" w14:textId="783CED4B" w:rsidTr="001E635C">
        <w:tc>
          <w:tcPr>
            <w:tcW w:w="562" w:type="dxa"/>
          </w:tcPr>
          <w:p w14:paraId="59CF8693" w14:textId="77777777" w:rsidR="00D53DD1" w:rsidRDefault="00D53DD1" w:rsidP="00174276">
            <w:pPr>
              <w:rPr>
                <w:color w:val="FF0000"/>
              </w:rPr>
            </w:pPr>
          </w:p>
        </w:tc>
        <w:tc>
          <w:tcPr>
            <w:tcW w:w="1843" w:type="dxa"/>
          </w:tcPr>
          <w:p w14:paraId="0A69FAB9" w14:textId="77777777" w:rsidR="00D53DD1" w:rsidRPr="000E6026" w:rsidRDefault="00D53DD1" w:rsidP="00174276">
            <w:pPr>
              <w:rPr>
                <w:rFonts w:ascii="Verdana" w:hAnsi="Verdana"/>
              </w:rPr>
            </w:pPr>
            <w:r w:rsidRPr="000E6026">
              <w:rPr>
                <w:rFonts w:ascii="Verdana" w:hAnsi="Verdana"/>
              </w:rPr>
              <w:t xml:space="preserve">Recruitment </w:t>
            </w:r>
          </w:p>
          <w:p w14:paraId="1EC44C2C" w14:textId="77777777" w:rsidR="00D53DD1" w:rsidRPr="000E6026" w:rsidRDefault="00D53DD1" w:rsidP="00174276">
            <w:pPr>
              <w:rPr>
                <w:rFonts w:ascii="Verdana" w:hAnsi="Verdana"/>
              </w:rPr>
            </w:pPr>
          </w:p>
          <w:p w14:paraId="096A8E45" w14:textId="77777777" w:rsidR="00D53DD1" w:rsidRPr="000E6026" w:rsidRDefault="00D53DD1" w:rsidP="00174276">
            <w:pPr>
              <w:rPr>
                <w:rFonts w:ascii="Verdana" w:hAnsi="Verdana"/>
                <w:color w:val="FF0000"/>
              </w:rPr>
            </w:pPr>
          </w:p>
        </w:tc>
        <w:tc>
          <w:tcPr>
            <w:tcW w:w="2126" w:type="dxa"/>
          </w:tcPr>
          <w:p w14:paraId="18339910" w14:textId="501AFEE8" w:rsidR="00D53DD1" w:rsidRDefault="00D53DD1" w:rsidP="00174276">
            <w:pPr>
              <w:rPr>
                <w:rFonts w:ascii="Verdana" w:hAnsi="Verdana"/>
              </w:rPr>
            </w:pPr>
            <w:r w:rsidRPr="000E6026">
              <w:rPr>
                <w:rFonts w:ascii="Verdana" w:hAnsi="Verdana"/>
              </w:rPr>
              <w:t>EFA</w:t>
            </w:r>
            <w:r>
              <w:rPr>
                <w:rFonts w:ascii="Verdana" w:hAnsi="Verdana"/>
              </w:rPr>
              <w:t>-</w:t>
            </w:r>
            <w:r w:rsidRPr="000E6026">
              <w:rPr>
                <w:rFonts w:ascii="Verdana" w:hAnsi="Verdana"/>
              </w:rPr>
              <w:t xml:space="preserve">funded learners enrolled at </w:t>
            </w:r>
            <w:r>
              <w:rPr>
                <w:rFonts w:ascii="Verdana" w:hAnsi="Verdana"/>
              </w:rPr>
              <w:t>the census date.</w:t>
            </w:r>
          </w:p>
          <w:p w14:paraId="57E0B0E0" w14:textId="57CABFF9" w:rsidR="00D53DD1" w:rsidRPr="000E6026" w:rsidRDefault="00D53DD1" w:rsidP="00174276">
            <w:pPr>
              <w:rPr>
                <w:rFonts w:ascii="Verdana" w:hAnsi="Verdana"/>
                <w:color w:val="FF0000"/>
              </w:rPr>
            </w:pPr>
          </w:p>
        </w:tc>
        <w:tc>
          <w:tcPr>
            <w:tcW w:w="1985" w:type="dxa"/>
          </w:tcPr>
          <w:p w14:paraId="5D12E5CB" w14:textId="61311B76" w:rsidR="00D53DD1" w:rsidRDefault="00D53DD1" w:rsidP="00174276">
            <w:pPr>
              <w:jc w:val="center"/>
              <w:rPr>
                <w:rFonts w:ascii="Verdana" w:hAnsi="Verdana"/>
              </w:rPr>
            </w:pPr>
            <w:r>
              <w:rPr>
                <w:rFonts w:ascii="Verdana" w:hAnsi="Verdana"/>
              </w:rPr>
              <w:t>1,7</w:t>
            </w:r>
            <w:r w:rsidR="00606929">
              <w:rPr>
                <w:rFonts w:ascii="Verdana" w:hAnsi="Verdana"/>
              </w:rPr>
              <w:t>11</w:t>
            </w:r>
          </w:p>
          <w:p w14:paraId="61EE69F9" w14:textId="10C47D98" w:rsidR="00D53DD1" w:rsidRPr="000E6026" w:rsidRDefault="00D53DD1" w:rsidP="00606929">
            <w:pPr>
              <w:jc w:val="center"/>
              <w:rPr>
                <w:rFonts w:ascii="Verdana" w:hAnsi="Verdana"/>
                <w:color w:val="FF0000"/>
              </w:rPr>
            </w:pPr>
          </w:p>
        </w:tc>
        <w:tc>
          <w:tcPr>
            <w:tcW w:w="1559" w:type="dxa"/>
          </w:tcPr>
          <w:p w14:paraId="1264652E" w14:textId="2B126E6F" w:rsidR="00D53DD1" w:rsidRPr="000E6026" w:rsidRDefault="00D53DD1" w:rsidP="00174276">
            <w:pPr>
              <w:jc w:val="center"/>
              <w:rPr>
                <w:rFonts w:ascii="Verdana" w:hAnsi="Verdana"/>
                <w:color w:val="FF0000"/>
              </w:rPr>
            </w:pPr>
            <w:r w:rsidRPr="00F46156">
              <w:rPr>
                <w:rFonts w:ascii="Verdana" w:hAnsi="Verdana"/>
              </w:rPr>
              <w:t>1,</w:t>
            </w:r>
            <w:r w:rsidR="00606929">
              <w:rPr>
                <w:rFonts w:ascii="Verdana" w:hAnsi="Verdana"/>
              </w:rPr>
              <w:t>820</w:t>
            </w:r>
          </w:p>
        </w:tc>
        <w:tc>
          <w:tcPr>
            <w:tcW w:w="1418" w:type="dxa"/>
          </w:tcPr>
          <w:p w14:paraId="54685DCA" w14:textId="6C0D9D43" w:rsidR="00D53DD1" w:rsidRPr="00F46156" w:rsidRDefault="00606929" w:rsidP="00174276">
            <w:pPr>
              <w:jc w:val="center"/>
              <w:rPr>
                <w:rFonts w:ascii="Verdana" w:hAnsi="Verdana"/>
              </w:rPr>
            </w:pPr>
            <w:r>
              <w:rPr>
                <w:rFonts w:ascii="Verdana" w:hAnsi="Verdana"/>
              </w:rPr>
              <w:t>1,820 (best guess)</w:t>
            </w:r>
          </w:p>
        </w:tc>
      </w:tr>
      <w:tr w:rsidR="00D53DD1" w14:paraId="6C27679A" w14:textId="5606E19B" w:rsidTr="001E635C">
        <w:tc>
          <w:tcPr>
            <w:tcW w:w="562" w:type="dxa"/>
          </w:tcPr>
          <w:p w14:paraId="3EC5A34B" w14:textId="77777777" w:rsidR="00D53DD1" w:rsidRDefault="00D53DD1" w:rsidP="00174276">
            <w:pPr>
              <w:rPr>
                <w:color w:val="FF0000"/>
              </w:rPr>
            </w:pPr>
          </w:p>
        </w:tc>
        <w:tc>
          <w:tcPr>
            <w:tcW w:w="1843" w:type="dxa"/>
          </w:tcPr>
          <w:p w14:paraId="18583CF1" w14:textId="77777777" w:rsidR="00D53DD1" w:rsidRPr="000E6026" w:rsidRDefault="00D53DD1" w:rsidP="00174276">
            <w:pPr>
              <w:rPr>
                <w:rFonts w:ascii="Verdana" w:hAnsi="Verdana"/>
              </w:rPr>
            </w:pPr>
            <w:r w:rsidRPr="000E6026">
              <w:rPr>
                <w:rFonts w:ascii="Verdana" w:hAnsi="Verdana"/>
              </w:rPr>
              <w:t xml:space="preserve">Recruitment </w:t>
            </w:r>
          </w:p>
          <w:p w14:paraId="3F16477E" w14:textId="77777777" w:rsidR="00D53DD1" w:rsidRPr="000E6026" w:rsidRDefault="00D53DD1" w:rsidP="00174276">
            <w:pPr>
              <w:rPr>
                <w:rFonts w:ascii="Verdana" w:hAnsi="Verdana"/>
                <w:color w:val="FF0000"/>
              </w:rPr>
            </w:pPr>
          </w:p>
        </w:tc>
        <w:tc>
          <w:tcPr>
            <w:tcW w:w="2126" w:type="dxa"/>
          </w:tcPr>
          <w:p w14:paraId="44E32651" w14:textId="77777777" w:rsidR="00D53DD1" w:rsidRDefault="00D53DD1" w:rsidP="00174276">
            <w:pPr>
              <w:rPr>
                <w:rFonts w:ascii="Verdana" w:hAnsi="Verdana"/>
              </w:rPr>
            </w:pPr>
            <w:r w:rsidRPr="000E6026">
              <w:rPr>
                <w:rFonts w:ascii="Verdana" w:hAnsi="Verdana"/>
              </w:rPr>
              <w:t>Application to offer conversion rate</w:t>
            </w:r>
            <w:r>
              <w:rPr>
                <w:rFonts w:ascii="Verdana" w:hAnsi="Verdana"/>
              </w:rPr>
              <w:t>.</w:t>
            </w:r>
          </w:p>
          <w:p w14:paraId="54C17F0B" w14:textId="0FF8550A" w:rsidR="00D53DD1" w:rsidRPr="00613224" w:rsidRDefault="00D53DD1" w:rsidP="00174276">
            <w:pPr>
              <w:rPr>
                <w:rFonts w:ascii="Verdana" w:hAnsi="Verdana"/>
              </w:rPr>
            </w:pPr>
          </w:p>
        </w:tc>
        <w:tc>
          <w:tcPr>
            <w:tcW w:w="1985" w:type="dxa"/>
          </w:tcPr>
          <w:p w14:paraId="4D77F50D" w14:textId="77777777" w:rsidR="00D53DD1" w:rsidRDefault="00D53DD1" w:rsidP="00174276">
            <w:pPr>
              <w:jc w:val="center"/>
              <w:rPr>
                <w:rFonts w:ascii="Verdana" w:hAnsi="Verdana"/>
              </w:rPr>
            </w:pPr>
            <w:r>
              <w:rPr>
                <w:rFonts w:ascii="Verdana" w:hAnsi="Verdana"/>
              </w:rPr>
              <w:t>7</w:t>
            </w:r>
            <w:r w:rsidRPr="000E6026">
              <w:rPr>
                <w:rFonts w:ascii="Verdana" w:hAnsi="Verdana"/>
              </w:rPr>
              <w:t>5%</w:t>
            </w:r>
          </w:p>
          <w:p w14:paraId="1E33B3C5" w14:textId="5613B79D" w:rsidR="00D53DD1" w:rsidRPr="000E6026" w:rsidRDefault="00D53DD1" w:rsidP="00606929">
            <w:pPr>
              <w:jc w:val="center"/>
              <w:rPr>
                <w:rFonts w:ascii="Verdana" w:hAnsi="Verdana"/>
                <w:color w:val="FF0000"/>
              </w:rPr>
            </w:pPr>
          </w:p>
        </w:tc>
        <w:tc>
          <w:tcPr>
            <w:tcW w:w="1559" w:type="dxa"/>
          </w:tcPr>
          <w:p w14:paraId="40846030" w14:textId="0218D81A" w:rsidR="00D53DD1" w:rsidRPr="000E6026" w:rsidRDefault="00D53DD1" w:rsidP="00174276">
            <w:pPr>
              <w:jc w:val="center"/>
              <w:rPr>
                <w:rFonts w:ascii="Verdana" w:hAnsi="Verdana"/>
                <w:color w:val="FF0000"/>
              </w:rPr>
            </w:pPr>
            <w:r w:rsidRPr="00F46156">
              <w:rPr>
                <w:rFonts w:ascii="Verdana" w:hAnsi="Verdana"/>
              </w:rPr>
              <w:t>75%</w:t>
            </w:r>
          </w:p>
        </w:tc>
        <w:tc>
          <w:tcPr>
            <w:tcW w:w="1418" w:type="dxa"/>
          </w:tcPr>
          <w:p w14:paraId="6109E9F2" w14:textId="30CA9FCD" w:rsidR="00D53DD1" w:rsidRPr="00F46156" w:rsidRDefault="00606929" w:rsidP="00174276">
            <w:pPr>
              <w:jc w:val="center"/>
              <w:rPr>
                <w:rFonts w:ascii="Verdana" w:hAnsi="Verdana"/>
              </w:rPr>
            </w:pPr>
            <w:r>
              <w:rPr>
                <w:rFonts w:ascii="Verdana" w:hAnsi="Verdana"/>
              </w:rPr>
              <w:t>57%</w:t>
            </w:r>
          </w:p>
        </w:tc>
      </w:tr>
      <w:tr w:rsidR="00793870" w14:paraId="62677936" w14:textId="77777777" w:rsidTr="001E635C">
        <w:tc>
          <w:tcPr>
            <w:tcW w:w="562" w:type="dxa"/>
          </w:tcPr>
          <w:p w14:paraId="5676C500" w14:textId="77777777" w:rsidR="00793870" w:rsidRDefault="00793870" w:rsidP="00793870">
            <w:pPr>
              <w:rPr>
                <w:color w:val="FF0000"/>
              </w:rPr>
            </w:pPr>
          </w:p>
        </w:tc>
        <w:tc>
          <w:tcPr>
            <w:tcW w:w="1843" w:type="dxa"/>
            <w:vAlign w:val="center"/>
          </w:tcPr>
          <w:p w14:paraId="25706DEA" w14:textId="7B8254BE" w:rsidR="00793870" w:rsidRPr="003B5413" w:rsidRDefault="00793870" w:rsidP="00793870">
            <w:pPr>
              <w:rPr>
                <w:rFonts w:ascii="Verdana" w:hAnsi="Verdana"/>
              </w:rPr>
            </w:pPr>
            <w:r w:rsidRPr="000E6026">
              <w:rPr>
                <w:rFonts w:ascii="Verdana" w:hAnsi="Verdana"/>
                <w:b/>
              </w:rPr>
              <w:t>Performance Indicators</w:t>
            </w:r>
          </w:p>
        </w:tc>
        <w:tc>
          <w:tcPr>
            <w:tcW w:w="2126" w:type="dxa"/>
            <w:vAlign w:val="center"/>
          </w:tcPr>
          <w:p w14:paraId="65356679" w14:textId="51F9E759" w:rsidR="00793870" w:rsidRPr="003B5413" w:rsidRDefault="00793870" w:rsidP="00793870">
            <w:pPr>
              <w:rPr>
                <w:rFonts w:ascii="Verdana" w:hAnsi="Verdana"/>
              </w:rPr>
            </w:pPr>
            <w:r w:rsidRPr="000E6026">
              <w:rPr>
                <w:rFonts w:ascii="Verdana" w:hAnsi="Verdana"/>
                <w:b/>
              </w:rPr>
              <w:t>Measure</w:t>
            </w:r>
          </w:p>
        </w:tc>
        <w:tc>
          <w:tcPr>
            <w:tcW w:w="1985" w:type="dxa"/>
            <w:vAlign w:val="center"/>
          </w:tcPr>
          <w:p w14:paraId="7B2D1194" w14:textId="77777777" w:rsidR="00793870" w:rsidRPr="000E6026" w:rsidRDefault="00793870" w:rsidP="00793870">
            <w:pPr>
              <w:jc w:val="center"/>
              <w:rPr>
                <w:rFonts w:ascii="Verdana" w:hAnsi="Verdana"/>
                <w:b/>
              </w:rPr>
            </w:pPr>
            <w:r>
              <w:rPr>
                <w:rFonts w:ascii="Verdana" w:hAnsi="Verdana"/>
                <w:b/>
              </w:rPr>
              <w:t>2018-19</w:t>
            </w:r>
          </w:p>
          <w:p w14:paraId="0B084937" w14:textId="77777777" w:rsidR="00793870" w:rsidRPr="000E6026" w:rsidRDefault="00793870" w:rsidP="00793870">
            <w:pPr>
              <w:jc w:val="center"/>
              <w:rPr>
                <w:rFonts w:ascii="Verdana" w:hAnsi="Verdana"/>
                <w:b/>
              </w:rPr>
            </w:pPr>
            <w:r w:rsidRPr="000E6026">
              <w:rPr>
                <w:rFonts w:ascii="Verdana" w:hAnsi="Verdana"/>
                <w:b/>
              </w:rPr>
              <w:t>Outcome</w:t>
            </w:r>
          </w:p>
          <w:p w14:paraId="4CA92033" w14:textId="77777777" w:rsidR="00793870" w:rsidRDefault="00793870" w:rsidP="00793870">
            <w:pPr>
              <w:jc w:val="center"/>
              <w:rPr>
                <w:rFonts w:ascii="Verdana" w:hAnsi="Verdana"/>
              </w:rPr>
            </w:pPr>
          </w:p>
        </w:tc>
        <w:tc>
          <w:tcPr>
            <w:tcW w:w="1559" w:type="dxa"/>
            <w:vAlign w:val="center"/>
          </w:tcPr>
          <w:p w14:paraId="57ED6C91" w14:textId="77777777" w:rsidR="00793870" w:rsidRPr="000E6026" w:rsidRDefault="00793870" w:rsidP="00793870">
            <w:pPr>
              <w:jc w:val="center"/>
              <w:rPr>
                <w:rFonts w:ascii="Verdana" w:hAnsi="Verdana"/>
                <w:b/>
              </w:rPr>
            </w:pPr>
            <w:r w:rsidRPr="000E6026">
              <w:rPr>
                <w:rFonts w:ascii="Verdana" w:hAnsi="Verdana"/>
                <w:b/>
              </w:rPr>
              <w:t>201</w:t>
            </w:r>
            <w:r>
              <w:rPr>
                <w:rFonts w:ascii="Verdana" w:hAnsi="Verdana"/>
                <w:b/>
              </w:rPr>
              <w:t>9-20</w:t>
            </w:r>
            <w:r w:rsidRPr="000E6026">
              <w:rPr>
                <w:rFonts w:ascii="Verdana" w:hAnsi="Verdana"/>
                <w:b/>
              </w:rPr>
              <w:t xml:space="preserve"> Target</w:t>
            </w:r>
          </w:p>
          <w:p w14:paraId="1D67ED5A" w14:textId="77777777" w:rsidR="00793870" w:rsidRDefault="00793870" w:rsidP="00793870">
            <w:pPr>
              <w:jc w:val="center"/>
              <w:rPr>
                <w:rFonts w:ascii="Verdana" w:hAnsi="Verdana"/>
                <w:b/>
              </w:rPr>
            </w:pPr>
            <w:r w:rsidRPr="000E6026">
              <w:rPr>
                <w:rFonts w:ascii="Verdana" w:hAnsi="Verdana"/>
                <w:b/>
              </w:rPr>
              <w:t>%</w:t>
            </w:r>
          </w:p>
          <w:p w14:paraId="0F45221E" w14:textId="5540436F" w:rsidR="00B92707" w:rsidRDefault="00B92707" w:rsidP="00793870">
            <w:pPr>
              <w:jc w:val="center"/>
              <w:rPr>
                <w:rFonts w:ascii="Verdana" w:hAnsi="Verdana"/>
              </w:rPr>
            </w:pPr>
          </w:p>
        </w:tc>
        <w:tc>
          <w:tcPr>
            <w:tcW w:w="1418" w:type="dxa"/>
          </w:tcPr>
          <w:p w14:paraId="7DB7562B" w14:textId="77777777" w:rsidR="00793870" w:rsidRDefault="00793870" w:rsidP="00793870">
            <w:pPr>
              <w:jc w:val="center"/>
              <w:rPr>
                <w:rFonts w:ascii="Verdana" w:hAnsi="Verdana"/>
                <w:b/>
              </w:rPr>
            </w:pPr>
            <w:r>
              <w:rPr>
                <w:rFonts w:ascii="Verdana" w:hAnsi="Verdana"/>
                <w:b/>
              </w:rPr>
              <w:t>Feb 20</w:t>
            </w:r>
          </w:p>
          <w:p w14:paraId="6A3A875A" w14:textId="7D71991E" w:rsidR="00793870" w:rsidRDefault="00793870" w:rsidP="00793870">
            <w:pPr>
              <w:jc w:val="center"/>
              <w:rPr>
                <w:rFonts w:ascii="Verdana" w:hAnsi="Verdana"/>
              </w:rPr>
            </w:pPr>
            <w:r>
              <w:rPr>
                <w:rFonts w:ascii="Verdana" w:hAnsi="Verdana"/>
                <w:b/>
              </w:rPr>
              <w:t>Update</w:t>
            </w:r>
          </w:p>
        </w:tc>
      </w:tr>
      <w:tr w:rsidR="00793870" w14:paraId="4CA3063D" w14:textId="54C1B475" w:rsidTr="001E635C">
        <w:tc>
          <w:tcPr>
            <w:tcW w:w="562" w:type="dxa"/>
          </w:tcPr>
          <w:p w14:paraId="35D5ED60" w14:textId="77777777" w:rsidR="00793870" w:rsidRDefault="00793870" w:rsidP="00793870">
            <w:pPr>
              <w:rPr>
                <w:color w:val="FF0000"/>
              </w:rPr>
            </w:pPr>
          </w:p>
        </w:tc>
        <w:tc>
          <w:tcPr>
            <w:tcW w:w="1843" w:type="dxa"/>
          </w:tcPr>
          <w:p w14:paraId="0F21F16B" w14:textId="77777777" w:rsidR="00793870" w:rsidRPr="003B5413" w:rsidRDefault="00793870" w:rsidP="00793870">
            <w:pPr>
              <w:rPr>
                <w:rFonts w:ascii="Verdana" w:hAnsi="Verdana"/>
              </w:rPr>
            </w:pPr>
            <w:r w:rsidRPr="003B5413">
              <w:rPr>
                <w:rFonts w:ascii="Verdana" w:hAnsi="Verdana"/>
              </w:rPr>
              <w:t xml:space="preserve">Recruitment </w:t>
            </w:r>
          </w:p>
          <w:p w14:paraId="6B005E07" w14:textId="77777777" w:rsidR="00793870" w:rsidRPr="003B5413" w:rsidRDefault="00793870" w:rsidP="00793870">
            <w:pPr>
              <w:rPr>
                <w:rFonts w:ascii="Verdana" w:hAnsi="Verdana"/>
              </w:rPr>
            </w:pPr>
          </w:p>
        </w:tc>
        <w:tc>
          <w:tcPr>
            <w:tcW w:w="2126" w:type="dxa"/>
          </w:tcPr>
          <w:p w14:paraId="7C87DEB6" w14:textId="77777777" w:rsidR="00793870" w:rsidRDefault="00793870" w:rsidP="00793870">
            <w:pPr>
              <w:rPr>
                <w:rFonts w:ascii="Verdana" w:hAnsi="Verdana"/>
              </w:rPr>
            </w:pPr>
            <w:r w:rsidRPr="003B5413">
              <w:rPr>
                <w:rFonts w:ascii="Verdana" w:hAnsi="Verdana"/>
              </w:rPr>
              <w:t>Offer to enrolment conversion rat</w:t>
            </w:r>
            <w:r>
              <w:rPr>
                <w:rFonts w:ascii="Verdana" w:hAnsi="Verdana"/>
              </w:rPr>
              <w:t>e</w:t>
            </w:r>
          </w:p>
          <w:p w14:paraId="082430CD" w14:textId="5AA81058" w:rsidR="00793870" w:rsidRPr="003B5413" w:rsidRDefault="00793870" w:rsidP="00793870">
            <w:pPr>
              <w:rPr>
                <w:rFonts w:ascii="Verdana" w:hAnsi="Verdana"/>
              </w:rPr>
            </w:pPr>
          </w:p>
        </w:tc>
        <w:tc>
          <w:tcPr>
            <w:tcW w:w="1985" w:type="dxa"/>
          </w:tcPr>
          <w:p w14:paraId="48C10FB2" w14:textId="4B1347B3" w:rsidR="00793870" w:rsidRDefault="00793870" w:rsidP="00793870">
            <w:pPr>
              <w:jc w:val="center"/>
              <w:rPr>
                <w:rFonts w:ascii="Verdana" w:hAnsi="Verdana"/>
              </w:rPr>
            </w:pPr>
            <w:r>
              <w:rPr>
                <w:rFonts w:ascii="Verdana" w:hAnsi="Verdana"/>
              </w:rPr>
              <w:t>34%</w:t>
            </w:r>
          </w:p>
          <w:p w14:paraId="1ED37B5D" w14:textId="77777777" w:rsidR="00793870" w:rsidRDefault="00793870" w:rsidP="00793870">
            <w:pPr>
              <w:jc w:val="center"/>
              <w:rPr>
                <w:rFonts w:ascii="Verdana" w:hAnsi="Verdana"/>
              </w:rPr>
            </w:pPr>
          </w:p>
          <w:p w14:paraId="6F70DE7E" w14:textId="1A28806C" w:rsidR="00793870" w:rsidRDefault="00793870" w:rsidP="00793870">
            <w:pPr>
              <w:jc w:val="center"/>
              <w:rPr>
                <w:rFonts w:ascii="Verdana" w:hAnsi="Verdana"/>
              </w:rPr>
            </w:pPr>
          </w:p>
        </w:tc>
        <w:tc>
          <w:tcPr>
            <w:tcW w:w="1559" w:type="dxa"/>
          </w:tcPr>
          <w:p w14:paraId="5814868D" w14:textId="6F969D42" w:rsidR="00793870" w:rsidRPr="00174276" w:rsidRDefault="00793870" w:rsidP="00793870">
            <w:pPr>
              <w:jc w:val="center"/>
              <w:rPr>
                <w:rFonts w:ascii="Verdana" w:hAnsi="Verdana"/>
                <w:color w:val="FF0000"/>
              </w:rPr>
            </w:pPr>
            <w:r>
              <w:rPr>
                <w:rFonts w:ascii="Verdana" w:hAnsi="Verdana"/>
              </w:rPr>
              <w:t>36</w:t>
            </w:r>
            <w:r w:rsidRPr="00F46156">
              <w:rPr>
                <w:rFonts w:ascii="Verdana" w:hAnsi="Verdana"/>
              </w:rPr>
              <w:t>%</w:t>
            </w:r>
          </w:p>
        </w:tc>
        <w:tc>
          <w:tcPr>
            <w:tcW w:w="1418" w:type="dxa"/>
          </w:tcPr>
          <w:p w14:paraId="2634CFDC" w14:textId="3DB26D4E" w:rsidR="00793870" w:rsidRPr="00F46156" w:rsidRDefault="00793870" w:rsidP="00793870">
            <w:pPr>
              <w:jc w:val="center"/>
              <w:rPr>
                <w:rFonts w:ascii="Verdana" w:hAnsi="Verdana"/>
              </w:rPr>
            </w:pPr>
            <w:r>
              <w:rPr>
                <w:rFonts w:ascii="Verdana" w:hAnsi="Verdana"/>
              </w:rPr>
              <w:t>-</w:t>
            </w:r>
          </w:p>
        </w:tc>
      </w:tr>
      <w:tr w:rsidR="00793870" w14:paraId="58A08060" w14:textId="0D8DA513" w:rsidTr="001E635C">
        <w:tc>
          <w:tcPr>
            <w:tcW w:w="562" w:type="dxa"/>
          </w:tcPr>
          <w:p w14:paraId="6D99B321" w14:textId="77777777" w:rsidR="00793870" w:rsidRDefault="00793870" w:rsidP="00793870">
            <w:pPr>
              <w:rPr>
                <w:color w:val="FF0000"/>
              </w:rPr>
            </w:pPr>
          </w:p>
        </w:tc>
        <w:tc>
          <w:tcPr>
            <w:tcW w:w="1843" w:type="dxa"/>
          </w:tcPr>
          <w:p w14:paraId="6E20CEE3" w14:textId="77777777" w:rsidR="00793870" w:rsidRPr="00EA2CE0" w:rsidRDefault="00793870" w:rsidP="00793870">
            <w:pPr>
              <w:rPr>
                <w:rFonts w:ascii="Verdana" w:hAnsi="Verdana"/>
              </w:rPr>
            </w:pPr>
            <w:r w:rsidRPr="00EA2CE0">
              <w:rPr>
                <w:rFonts w:ascii="Verdana" w:hAnsi="Verdana"/>
              </w:rPr>
              <w:t>Internal Progression</w:t>
            </w:r>
          </w:p>
          <w:p w14:paraId="3C79DD78" w14:textId="77777777" w:rsidR="00793870" w:rsidRPr="000E6026" w:rsidRDefault="00793870" w:rsidP="00793870">
            <w:pPr>
              <w:rPr>
                <w:rFonts w:ascii="Verdana" w:hAnsi="Verdana"/>
                <w:b/>
              </w:rPr>
            </w:pPr>
          </w:p>
        </w:tc>
        <w:tc>
          <w:tcPr>
            <w:tcW w:w="2126" w:type="dxa"/>
          </w:tcPr>
          <w:p w14:paraId="2A320E66" w14:textId="7BADDE1C" w:rsidR="00793870" w:rsidRPr="000E6026" w:rsidRDefault="00793870" w:rsidP="00793870">
            <w:pPr>
              <w:rPr>
                <w:rFonts w:ascii="Verdana" w:hAnsi="Verdana"/>
                <w:b/>
              </w:rPr>
            </w:pPr>
            <w:r w:rsidRPr="00EA2CE0">
              <w:rPr>
                <w:rFonts w:ascii="Verdana" w:hAnsi="Verdana"/>
              </w:rPr>
              <w:t>% of students progressing from vocational L2 –L3</w:t>
            </w:r>
          </w:p>
        </w:tc>
        <w:tc>
          <w:tcPr>
            <w:tcW w:w="1985" w:type="dxa"/>
          </w:tcPr>
          <w:p w14:paraId="582EDDEB" w14:textId="3CEBFAA1" w:rsidR="00793870" w:rsidRPr="00EA2CE0" w:rsidRDefault="00793870" w:rsidP="00793870">
            <w:pPr>
              <w:jc w:val="center"/>
              <w:rPr>
                <w:rFonts w:ascii="Verdana" w:hAnsi="Verdana"/>
              </w:rPr>
            </w:pPr>
            <w:r>
              <w:rPr>
                <w:rFonts w:ascii="Verdana" w:hAnsi="Verdana"/>
              </w:rPr>
              <w:t>79</w:t>
            </w:r>
            <w:r w:rsidRPr="00EA2CE0">
              <w:rPr>
                <w:rFonts w:ascii="Verdana" w:hAnsi="Verdana"/>
              </w:rPr>
              <w:t>%</w:t>
            </w:r>
          </w:p>
          <w:p w14:paraId="5D5F35AC" w14:textId="1010415C" w:rsidR="00793870" w:rsidRPr="000E6026" w:rsidRDefault="00793870" w:rsidP="00793870">
            <w:pPr>
              <w:jc w:val="center"/>
              <w:rPr>
                <w:rFonts w:ascii="Verdana" w:hAnsi="Verdana"/>
                <w:b/>
              </w:rPr>
            </w:pPr>
          </w:p>
        </w:tc>
        <w:tc>
          <w:tcPr>
            <w:tcW w:w="1559" w:type="dxa"/>
          </w:tcPr>
          <w:p w14:paraId="289AE06D" w14:textId="09972303" w:rsidR="00793870" w:rsidRPr="000E6026" w:rsidRDefault="00793870" w:rsidP="00793870">
            <w:pPr>
              <w:jc w:val="center"/>
              <w:rPr>
                <w:rFonts w:ascii="Verdana" w:hAnsi="Verdana"/>
                <w:b/>
              </w:rPr>
            </w:pPr>
            <w:r>
              <w:rPr>
                <w:rFonts w:ascii="Verdana" w:hAnsi="Verdana"/>
              </w:rPr>
              <w:t>80%</w:t>
            </w:r>
          </w:p>
        </w:tc>
        <w:tc>
          <w:tcPr>
            <w:tcW w:w="1418" w:type="dxa"/>
          </w:tcPr>
          <w:p w14:paraId="0E027C68" w14:textId="0626D0AF" w:rsidR="00793870" w:rsidRDefault="00793870" w:rsidP="00793870">
            <w:pPr>
              <w:jc w:val="center"/>
              <w:rPr>
                <w:rFonts w:ascii="Verdana" w:hAnsi="Verdana"/>
              </w:rPr>
            </w:pPr>
            <w:r>
              <w:rPr>
                <w:rFonts w:ascii="Verdana" w:hAnsi="Verdana"/>
              </w:rPr>
              <w:t>-</w:t>
            </w:r>
          </w:p>
        </w:tc>
      </w:tr>
      <w:tr w:rsidR="00793870" w14:paraId="27A29195" w14:textId="464063DC" w:rsidTr="001E635C">
        <w:tc>
          <w:tcPr>
            <w:tcW w:w="562" w:type="dxa"/>
          </w:tcPr>
          <w:p w14:paraId="6CD9460C" w14:textId="77777777" w:rsidR="00793870" w:rsidRDefault="00793870" w:rsidP="00793870">
            <w:pPr>
              <w:rPr>
                <w:color w:val="FF0000"/>
              </w:rPr>
            </w:pPr>
          </w:p>
        </w:tc>
        <w:tc>
          <w:tcPr>
            <w:tcW w:w="1843" w:type="dxa"/>
          </w:tcPr>
          <w:p w14:paraId="4E0C2033" w14:textId="77777777" w:rsidR="00793870" w:rsidRPr="00EA2CE0" w:rsidRDefault="00793870" w:rsidP="00793870">
            <w:pPr>
              <w:rPr>
                <w:rFonts w:ascii="Verdana" w:hAnsi="Verdana"/>
              </w:rPr>
            </w:pPr>
            <w:r w:rsidRPr="00EA2CE0">
              <w:rPr>
                <w:rFonts w:ascii="Verdana" w:hAnsi="Verdana"/>
              </w:rPr>
              <w:t>Internal Progression</w:t>
            </w:r>
          </w:p>
          <w:p w14:paraId="666119E4" w14:textId="77777777" w:rsidR="00793870" w:rsidRPr="000E6026" w:rsidRDefault="00793870" w:rsidP="00793870">
            <w:pPr>
              <w:rPr>
                <w:rFonts w:ascii="Verdana" w:hAnsi="Verdana"/>
                <w:b/>
              </w:rPr>
            </w:pPr>
          </w:p>
        </w:tc>
        <w:tc>
          <w:tcPr>
            <w:tcW w:w="2126" w:type="dxa"/>
          </w:tcPr>
          <w:p w14:paraId="423C3452" w14:textId="77777777" w:rsidR="00793870" w:rsidRDefault="00793870" w:rsidP="00793870">
            <w:pPr>
              <w:rPr>
                <w:rFonts w:ascii="Verdana" w:hAnsi="Verdana"/>
              </w:rPr>
            </w:pPr>
            <w:r w:rsidRPr="00EA2CE0">
              <w:rPr>
                <w:rFonts w:ascii="Verdana" w:hAnsi="Verdana"/>
              </w:rPr>
              <w:t>% of students progressing from A level year 1 to A-level year 2</w:t>
            </w:r>
          </w:p>
          <w:p w14:paraId="7801935B" w14:textId="77777777" w:rsidR="00793870" w:rsidRDefault="00793870" w:rsidP="00793870">
            <w:pPr>
              <w:rPr>
                <w:rFonts w:ascii="Verdana" w:hAnsi="Verdana"/>
                <w:b/>
              </w:rPr>
            </w:pPr>
          </w:p>
          <w:p w14:paraId="362B3072" w14:textId="13031321" w:rsidR="00793870" w:rsidRPr="000E6026" w:rsidRDefault="00793870" w:rsidP="00793870">
            <w:pPr>
              <w:rPr>
                <w:rFonts w:ascii="Verdana" w:hAnsi="Verdana"/>
                <w:b/>
              </w:rPr>
            </w:pPr>
          </w:p>
        </w:tc>
        <w:tc>
          <w:tcPr>
            <w:tcW w:w="1985" w:type="dxa"/>
          </w:tcPr>
          <w:p w14:paraId="1AB007EE" w14:textId="68CC6B86" w:rsidR="00793870" w:rsidRPr="00EA2CE0" w:rsidRDefault="00793870" w:rsidP="00793870">
            <w:pPr>
              <w:jc w:val="center"/>
              <w:rPr>
                <w:rFonts w:ascii="Verdana" w:hAnsi="Verdana"/>
              </w:rPr>
            </w:pPr>
            <w:r w:rsidRPr="00EA2CE0">
              <w:rPr>
                <w:rFonts w:ascii="Verdana" w:hAnsi="Verdana"/>
              </w:rPr>
              <w:t>8</w:t>
            </w:r>
            <w:r>
              <w:rPr>
                <w:rFonts w:ascii="Verdana" w:hAnsi="Verdana"/>
              </w:rPr>
              <w:t>6</w:t>
            </w:r>
            <w:r w:rsidRPr="00EA2CE0">
              <w:rPr>
                <w:rFonts w:ascii="Verdana" w:hAnsi="Verdana"/>
              </w:rPr>
              <w:t>%</w:t>
            </w:r>
          </w:p>
          <w:p w14:paraId="31EE5F7B" w14:textId="2BC2EB54" w:rsidR="00793870" w:rsidRPr="000E6026" w:rsidRDefault="00793870" w:rsidP="00793870">
            <w:pPr>
              <w:jc w:val="center"/>
              <w:rPr>
                <w:rFonts w:ascii="Verdana" w:hAnsi="Verdana"/>
                <w:b/>
              </w:rPr>
            </w:pPr>
          </w:p>
        </w:tc>
        <w:tc>
          <w:tcPr>
            <w:tcW w:w="1559" w:type="dxa"/>
          </w:tcPr>
          <w:p w14:paraId="20D1B1E6" w14:textId="4EE50ED9" w:rsidR="00793870" w:rsidRPr="000E6026" w:rsidRDefault="00793870" w:rsidP="00793870">
            <w:pPr>
              <w:jc w:val="center"/>
              <w:rPr>
                <w:rFonts w:ascii="Verdana" w:hAnsi="Verdana"/>
                <w:b/>
              </w:rPr>
            </w:pPr>
            <w:r>
              <w:rPr>
                <w:rFonts w:ascii="Verdana" w:hAnsi="Verdana"/>
              </w:rPr>
              <w:t>90%</w:t>
            </w:r>
          </w:p>
        </w:tc>
        <w:tc>
          <w:tcPr>
            <w:tcW w:w="1418" w:type="dxa"/>
          </w:tcPr>
          <w:p w14:paraId="2F43C219" w14:textId="1A2359C9" w:rsidR="00793870" w:rsidRDefault="00793870" w:rsidP="00793870">
            <w:pPr>
              <w:jc w:val="center"/>
              <w:rPr>
                <w:rFonts w:ascii="Verdana" w:hAnsi="Verdana"/>
              </w:rPr>
            </w:pPr>
            <w:r>
              <w:rPr>
                <w:rFonts w:ascii="Verdana" w:hAnsi="Verdana"/>
              </w:rPr>
              <w:t>-</w:t>
            </w:r>
          </w:p>
        </w:tc>
      </w:tr>
      <w:tr w:rsidR="00793870" w14:paraId="53E7FFCA" w14:textId="77777777" w:rsidTr="001E635C">
        <w:tc>
          <w:tcPr>
            <w:tcW w:w="562" w:type="dxa"/>
          </w:tcPr>
          <w:p w14:paraId="25F43AC8" w14:textId="77777777" w:rsidR="00793870" w:rsidRDefault="00793870" w:rsidP="00793870">
            <w:pPr>
              <w:rPr>
                <w:color w:val="FF0000"/>
              </w:rPr>
            </w:pPr>
          </w:p>
        </w:tc>
        <w:tc>
          <w:tcPr>
            <w:tcW w:w="1843" w:type="dxa"/>
          </w:tcPr>
          <w:p w14:paraId="75173B64" w14:textId="77777777" w:rsidR="00793870" w:rsidRPr="00EA2CE0" w:rsidRDefault="00793870" w:rsidP="00793870">
            <w:pPr>
              <w:rPr>
                <w:rFonts w:ascii="Verdana" w:hAnsi="Verdana"/>
              </w:rPr>
            </w:pPr>
            <w:r w:rsidRPr="00EA2CE0">
              <w:rPr>
                <w:rFonts w:ascii="Verdana" w:hAnsi="Verdana"/>
              </w:rPr>
              <w:t>Internal Progression</w:t>
            </w:r>
          </w:p>
          <w:p w14:paraId="257FE120" w14:textId="77777777" w:rsidR="00793870" w:rsidRPr="00EA2CE0" w:rsidRDefault="00793870" w:rsidP="00793870">
            <w:pPr>
              <w:rPr>
                <w:rFonts w:ascii="Verdana" w:hAnsi="Verdana"/>
              </w:rPr>
            </w:pPr>
          </w:p>
        </w:tc>
        <w:tc>
          <w:tcPr>
            <w:tcW w:w="2126" w:type="dxa"/>
          </w:tcPr>
          <w:p w14:paraId="3D29B7DA" w14:textId="77777777" w:rsidR="00793870" w:rsidRDefault="00793870" w:rsidP="00793870">
            <w:pPr>
              <w:rPr>
                <w:rFonts w:ascii="Verdana" w:hAnsi="Verdana"/>
                <w:sz w:val="20"/>
                <w:szCs w:val="20"/>
              </w:rPr>
            </w:pPr>
            <w:r w:rsidRPr="00606929">
              <w:rPr>
                <w:rFonts w:ascii="Verdana" w:hAnsi="Verdana"/>
                <w:sz w:val="20"/>
                <w:szCs w:val="20"/>
              </w:rPr>
              <w:t>% of students progressing from A Level Year 1 in total</w:t>
            </w:r>
          </w:p>
          <w:p w14:paraId="35EC53A1" w14:textId="6325D358" w:rsidR="00793870" w:rsidRPr="00606929" w:rsidRDefault="00793870" w:rsidP="00793870">
            <w:pPr>
              <w:rPr>
                <w:rFonts w:ascii="Verdana" w:hAnsi="Verdana"/>
              </w:rPr>
            </w:pPr>
          </w:p>
        </w:tc>
        <w:tc>
          <w:tcPr>
            <w:tcW w:w="1985" w:type="dxa"/>
          </w:tcPr>
          <w:p w14:paraId="46511A82" w14:textId="1CD4C59C" w:rsidR="00793870" w:rsidRDefault="00793870" w:rsidP="00793870">
            <w:pPr>
              <w:jc w:val="center"/>
              <w:rPr>
                <w:rFonts w:ascii="Verdana" w:hAnsi="Verdana"/>
              </w:rPr>
            </w:pPr>
            <w:r>
              <w:rPr>
                <w:rFonts w:ascii="Verdana" w:hAnsi="Verdana"/>
              </w:rPr>
              <w:t>93%</w:t>
            </w:r>
          </w:p>
        </w:tc>
        <w:tc>
          <w:tcPr>
            <w:tcW w:w="1559" w:type="dxa"/>
          </w:tcPr>
          <w:p w14:paraId="3072D0F5" w14:textId="0DED15FB" w:rsidR="00793870" w:rsidRPr="00F46156" w:rsidRDefault="00793870" w:rsidP="00793870">
            <w:pPr>
              <w:jc w:val="center"/>
              <w:rPr>
                <w:rFonts w:ascii="Verdana" w:hAnsi="Verdana"/>
              </w:rPr>
            </w:pPr>
            <w:r>
              <w:rPr>
                <w:rFonts w:ascii="Verdana" w:hAnsi="Verdana"/>
              </w:rPr>
              <w:t>94%</w:t>
            </w:r>
          </w:p>
        </w:tc>
        <w:tc>
          <w:tcPr>
            <w:tcW w:w="1418" w:type="dxa"/>
          </w:tcPr>
          <w:p w14:paraId="3FC717C7" w14:textId="59384551" w:rsidR="00793870" w:rsidRPr="00F46156" w:rsidRDefault="00793870" w:rsidP="00793870">
            <w:pPr>
              <w:jc w:val="center"/>
              <w:rPr>
                <w:rFonts w:ascii="Verdana" w:hAnsi="Verdana"/>
              </w:rPr>
            </w:pPr>
            <w:r>
              <w:rPr>
                <w:rFonts w:ascii="Verdana" w:hAnsi="Verdana"/>
              </w:rPr>
              <w:t>-</w:t>
            </w:r>
          </w:p>
        </w:tc>
      </w:tr>
      <w:tr w:rsidR="00793870" w14:paraId="4BCED94C" w14:textId="6CFA99CB" w:rsidTr="001E635C">
        <w:tc>
          <w:tcPr>
            <w:tcW w:w="562" w:type="dxa"/>
          </w:tcPr>
          <w:p w14:paraId="55851DF8" w14:textId="77777777" w:rsidR="00793870" w:rsidRDefault="00793870" w:rsidP="00793870">
            <w:pPr>
              <w:rPr>
                <w:color w:val="FF0000"/>
              </w:rPr>
            </w:pPr>
          </w:p>
        </w:tc>
        <w:tc>
          <w:tcPr>
            <w:tcW w:w="1843" w:type="dxa"/>
          </w:tcPr>
          <w:p w14:paraId="77659D43" w14:textId="77777777" w:rsidR="00793870" w:rsidRPr="00EA2CE0" w:rsidRDefault="00793870" w:rsidP="00793870">
            <w:pPr>
              <w:rPr>
                <w:rFonts w:ascii="Verdana" w:hAnsi="Verdana"/>
              </w:rPr>
            </w:pPr>
            <w:r w:rsidRPr="00EA2CE0">
              <w:rPr>
                <w:rFonts w:ascii="Verdana" w:hAnsi="Verdana"/>
              </w:rPr>
              <w:t>Internal Progression</w:t>
            </w:r>
          </w:p>
          <w:p w14:paraId="6EDB983F" w14:textId="77777777" w:rsidR="00793870" w:rsidRPr="00EA2CE0" w:rsidRDefault="00793870" w:rsidP="00793870">
            <w:pPr>
              <w:rPr>
                <w:rFonts w:ascii="Verdana" w:hAnsi="Verdana"/>
              </w:rPr>
            </w:pPr>
          </w:p>
        </w:tc>
        <w:tc>
          <w:tcPr>
            <w:tcW w:w="2126" w:type="dxa"/>
          </w:tcPr>
          <w:p w14:paraId="796C8AF7" w14:textId="516760B0" w:rsidR="00793870" w:rsidRPr="00F46156" w:rsidRDefault="00793870" w:rsidP="00793870">
            <w:pPr>
              <w:rPr>
                <w:rFonts w:ascii="Verdana" w:hAnsi="Verdana"/>
              </w:rPr>
            </w:pPr>
            <w:r w:rsidRPr="00F46156">
              <w:rPr>
                <w:rFonts w:ascii="Verdana" w:hAnsi="Verdana"/>
              </w:rPr>
              <w:t xml:space="preserve">% of students progressing from A Level Year 1 in total  </w:t>
            </w:r>
          </w:p>
        </w:tc>
        <w:tc>
          <w:tcPr>
            <w:tcW w:w="1985" w:type="dxa"/>
          </w:tcPr>
          <w:p w14:paraId="541C1D17" w14:textId="4093D8EE" w:rsidR="00793870" w:rsidRPr="00EA2CE0" w:rsidRDefault="00793870" w:rsidP="00793870">
            <w:pPr>
              <w:jc w:val="center"/>
              <w:rPr>
                <w:rFonts w:ascii="Verdana" w:hAnsi="Verdana"/>
              </w:rPr>
            </w:pPr>
            <w:r>
              <w:rPr>
                <w:rFonts w:ascii="Verdana" w:hAnsi="Verdana"/>
              </w:rPr>
              <w:t>93%</w:t>
            </w:r>
          </w:p>
        </w:tc>
        <w:tc>
          <w:tcPr>
            <w:tcW w:w="1559" w:type="dxa"/>
          </w:tcPr>
          <w:p w14:paraId="5594E2D5" w14:textId="0CA3AD9F" w:rsidR="00793870" w:rsidRPr="00174276" w:rsidRDefault="00793870" w:rsidP="00793870">
            <w:pPr>
              <w:jc w:val="center"/>
              <w:rPr>
                <w:rFonts w:ascii="Verdana" w:hAnsi="Verdana"/>
                <w:color w:val="FF0000"/>
              </w:rPr>
            </w:pPr>
            <w:r w:rsidRPr="00F46156">
              <w:rPr>
                <w:rFonts w:ascii="Verdana" w:hAnsi="Verdana"/>
              </w:rPr>
              <w:t>94%</w:t>
            </w:r>
          </w:p>
        </w:tc>
        <w:tc>
          <w:tcPr>
            <w:tcW w:w="1418" w:type="dxa"/>
          </w:tcPr>
          <w:p w14:paraId="64EAF94E" w14:textId="4A2BB919" w:rsidR="00793870" w:rsidRPr="00F46156" w:rsidRDefault="00793870" w:rsidP="00793870">
            <w:pPr>
              <w:jc w:val="center"/>
              <w:rPr>
                <w:rFonts w:ascii="Verdana" w:hAnsi="Verdana"/>
              </w:rPr>
            </w:pPr>
            <w:r>
              <w:rPr>
                <w:rFonts w:ascii="Verdana" w:hAnsi="Verdana"/>
              </w:rPr>
              <w:t>-</w:t>
            </w:r>
          </w:p>
        </w:tc>
      </w:tr>
      <w:tr w:rsidR="00793870" w14:paraId="0E39D2D2" w14:textId="31A98D8E" w:rsidTr="001E635C">
        <w:tc>
          <w:tcPr>
            <w:tcW w:w="562" w:type="dxa"/>
          </w:tcPr>
          <w:p w14:paraId="0A50559B" w14:textId="77777777" w:rsidR="00793870" w:rsidRDefault="00793870" w:rsidP="00793870">
            <w:pPr>
              <w:rPr>
                <w:color w:val="FF0000"/>
              </w:rPr>
            </w:pPr>
          </w:p>
        </w:tc>
        <w:tc>
          <w:tcPr>
            <w:tcW w:w="1843" w:type="dxa"/>
          </w:tcPr>
          <w:p w14:paraId="7757651C" w14:textId="77777777" w:rsidR="00793870" w:rsidRPr="00EA2CE0" w:rsidRDefault="00793870" w:rsidP="00793870">
            <w:pPr>
              <w:rPr>
                <w:rFonts w:ascii="Verdana" w:hAnsi="Verdana"/>
              </w:rPr>
            </w:pPr>
            <w:r w:rsidRPr="00EA2CE0">
              <w:rPr>
                <w:rFonts w:ascii="Verdana" w:hAnsi="Verdana"/>
              </w:rPr>
              <w:t>Internal Progression</w:t>
            </w:r>
          </w:p>
          <w:p w14:paraId="46F0C6FE" w14:textId="77777777" w:rsidR="00793870" w:rsidRPr="00EA2CE0" w:rsidRDefault="00793870" w:rsidP="00793870">
            <w:pPr>
              <w:rPr>
                <w:rFonts w:ascii="Verdana" w:hAnsi="Verdana"/>
              </w:rPr>
            </w:pPr>
          </w:p>
        </w:tc>
        <w:tc>
          <w:tcPr>
            <w:tcW w:w="2126" w:type="dxa"/>
          </w:tcPr>
          <w:p w14:paraId="1E0ED425" w14:textId="161B7FF4" w:rsidR="00793870" w:rsidRPr="00EA2CE0" w:rsidRDefault="00793870" w:rsidP="00793870">
            <w:pPr>
              <w:rPr>
                <w:rFonts w:ascii="Verdana" w:hAnsi="Verdana"/>
              </w:rPr>
            </w:pPr>
            <w:r w:rsidRPr="00EA2CE0">
              <w:rPr>
                <w:rFonts w:ascii="Verdana" w:hAnsi="Verdana"/>
              </w:rPr>
              <w:t>% of students progressing from L3 BTEC Y1 to Y2</w:t>
            </w:r>
          </w:p>
        </w:tc>
        <w:tc>
          <w:tcPr>
            <w:tcW w:w="1985" w:type="dxa"/>
          </w:tcPr>
          <w:p w14:paraId="302B4AB0" w14:textId="77777777" w:rsidR="00793870" w:rsidRPr="00EA2CE0" w:rsidRDefault="00793870" w:rsidP="00793870">
            <w:pPr>
              <w:jc w:val="center"/>
              <w:rPr>
                <w:rFonts w:ascii="Verdana" w:hAnsi="Verdana"/>
              </w:rPr>
            </w:pPr>
            <w:r w:rsidRPr="00EA2CE0">
              <w:rPr>
                <w:rFonts w:ascii="Verdana" w:hAnsi="Verdana"/>
              </w:rPr>
              <w:t>96%</w:t>
            </w:r>
          </w:p>
          <w:p w14:paraId="39ED4910" w14:textId="6FCAAE9C" w:rsidR="00793870" w:rsidRPr="00EA2CE0" w:rsidRDefault="00793870" w:rsidP="00793870">
            <w:pPr>
              <w:jc w:val="center"/>
              <w:rPr>
                <w:rFonts w:ascii="Verdana" w:hAnsi="Verdana"/>
              </w:rPr>
            </w:pPr>
          </w:p>
        </w:tc>
        <w:tc>
          <w:tcPr>
            <w:tcW w:w="1559" w:type="dxa"/>
          </w:tcPr>
          <w:p w14:paraId="5F18B870" w14:textId="04B36A83" w:rsidR="00793870" w:rsidRPr="00F46156" w:rsidRDefault="00793870" w:rsidP="00793870">
            <w:pPr>
              <w:jc w:val="center"/>
              <w:rPr>
                <w:rFonts w:ascii="Verdana" w:hAnsi="Verdana"/>
              </w:rPr>
            </w:pPr>
            <w:r>
              <w:rPr>
                <w:rFonts w:ascii="Verdana" w:hAnsi="Verdana"/>
              </w:rPr>
              <w:t>95%</w:t>
            </w:r>
          </w:p>
        </w:tc>
        <w:tc>
          <w:tcPr>
            <w:tcW w:w="1418" w:type="dxa"/>
          </w:tcPr>
          <w:p w14:paraId="50A85AA6" w14:textId="0A68D292" w:rsidR="00793870" w:rsidRDefault="00793870" w:rsidP="00793870">
            <w:pPr>
              <w:jc w:val="center"/>
              <w:rPr>
                <w:rFonts w:ascii="Verdana" w:hAnsi="Verdana"/>
              </w:rPr>
            </w:pPr>
            <w:r>
              <w:rPr>
                <w:rFonts w:ascii="Verdana" w:hAnsi="Verdana"/>
              </w:rPr>
              <w:t>-</w:t>
            </w:r>
          </w:p>
        </w:tc>
      </w:tr>
      <w:tr w:rsidR="00793870" w14:paraId="7A1605E3" w14:textId="1DD81857" w:rsidTr="001E635C">
        <w:tc>
          <w:tcPr>
            <w:tcW w:w="562" w:type="dxa"/>
          </w:tcPr>
          <w:p w14:paraId="1C76309A" w14:textId="77777777" w:rsidR="00793870" w:rsidRDefault="00793870" w:rsidP="00793870">
            <w:pPr>
              <w:rPr>
                <w:color w:val="FF0000"/>
              </w:rPr>
            </w:pPr>
          </w:p>
        </w:tc>
        <w:tc>
          <w:tcPr>
            <w:tcW w:w="1843" w:type="dxa"/>
          </w:tcPr>
          <w:p w14:paraId="7D333638" w14:textId="157F19CE" w:rsidR="00793870" w:rsidRPr="00EA2CE0" w:rsidRDefault="00793870" w:rsidP="00793870">
            <w:pPr>
              <w:rPr>
                <w:rFonts w:ascii="Verdana" w:hAnsi="Verdana"/>
              </w:rPr>
            </w:pPr>
            <w:r w:rsidRPr="00EA2CE0">
              <w:rPr>
                <w:rFonts w:ascii="Verdana" w:hAnsi="Verdana"/>
              </w:rPr>
              <w:t>Internal Progression</w:t>
            </w:r>
          </w:p>
        </w:tc>
        <w:tc>
          <w:tcPr>
            <w:tcW w:w="2126" w:type="dxa"/>
          </w:tcPr>
          <w:p w14:paraId="30B3FDFA" w14:textId="76BD970F" w:rsidR="00793870" w:rsidRPr="00EA2CE0" w:rsidRDefault="00793870" w:rsidP="00793870">
            <w:pPr>
              <w:rPr>
                <w:rFonts w:ascii="Verdana" w:hAnsi="Verdana"/>
              </w:rPr>
            </w:pPr>
            <w:r w:rsidRPr="00EA2CE0">
              <w:rPr>
                <w:rFonts w:ascii="Verdana" w:hAnsi="Verdana"/>
              </w:rPr>
              <w:t>% of all students who could return to the college in the college in 18/19 who do</w:t>
            </w:r>
          </w:p>
        </w:tc>
        <w:tc>
          <w:tcPr>
            <w:tcW w:w="1985" w:type="dxa"/>
          </w:tcPr>
          <w:p w14:paraId="7410A751" w14:textId="01190DDC" w:rsidR="00793870" w:rsidRPr="00EA2CE0" w:rsidRDefault="00793870" w:rsidP="00793870">
            <w:pPr>
              <w:jc w:val="center"/>
              <w:rPr>
                <w:rFonts w:ascii="Verdana" w:hAnsi="Verdana"/>
              </w:rPr>
            </w:pPr>
            <w:r w:rsidRPr="00EA2CE0">
              <w:rPr>
                <w:rFonts w:ascii="Verdana" w:hAnsi="Verdana"/>
              </w:rPr>
              <w:t>9</w:t>
            </w:r>
            <w:r>
              <w:rPr>
                <w:rFonts w:ascii="Verdana" w:hAnsi="Verdana"/>
              </w:rPr>
              <w:t>0</w:t>
            </w:r>
            <w:r w:rsidRPr="00EA2CE0">
              <w:rPr>
                <w:rFonts w:ascii="Verdana" w:hAnsi="Verdana"/>
              </w:rPr>
              <w:t>%</w:t>
            </w:r>
          </w:p>
          <w:p w14:paraId="04232E93" w14:textId="4D99803F" w:rsidR="00793870" w:rsidRPr="00EA2CE0" w:rsidRDefault="00793870" w:rsidP="00793870">
            <w:pPr>
              <w:jc w:val="center"/>
              <w:rPr>
                <w:rFonts w:ascii="Verdana" w:hAnsi="Verdana"/>
              </w:rPr>
            </w:pPr>
          </w:p>
        </w:tc>
        <w:tc>
          <w:tcPr>
            <w:tcW w:w="1559" w:type="dxa"/>
          </w:tcPr>
          <w:p w14:paraId="54BE6D35" w14:textId="7A28FD3E" w:rsidR="00793870" w:rsidRPr="00F46156" w:rsidRDefault="00793870" w:rsidP="00793870">
            <w:pPr>
              <w:jc w:val="center"/>
              <w:rPr>
                <w:rFonts w:ascii="Verdana" w:hAnsi="Verdana"/>
              </w:rPr>
            </w:pPr>
            <w:r>
              <w:rPr>
                <w:rFonts w:ascii="Verdana" w:hAnsi="Verdana"/>
              </w:rPr>
              <w:t>90%</w:t>
            </w:r>
          </w:p>
        </w:tc>
        <w:tc>
          <w:tcPr>
            <w:tcW w:w="1418" w:type="dxa"/>
          </w:tcPr>
          <w:p w14:paraId="062A82CC" w14:textId="7262E063" w:rsidR="00793870" w:rsidRDefault="00793870" w:rsidP="00793870">
            <w:pPr>
              <w:jc w:val="center"/>
              <w:rPr>
                <w:rFonts w:ascii="Verdana" w:hAnsi="Verdana"/>
              </w:rPr>
            </w:pPr>
            <w:r>
              <w:rPr>
                <w:rFonts w:ascii="Verdana" w:hAnsi="Verdana"/>
              </w:rPr>
              <w:t>-</w:t>
            </w:r>
          </w:p>
        </w:tc>
      </w:tr>
    </w:tbl>
    <w:p w14:paraId="1FB5D5DE" w14:textId="06CACEFE" w:rsidR="000E6026" w:rsidRDefault="000E6026"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D53DD1" w:rsidRPr="00D07924" w14:paraId="7648C600" w14:textId="77777777" w:rsidTr="001E635C">
        <w:tc>
          <w:tcPr>
            <w:tcW w:w="529" w:type="dxa"/>
            <w:shd w:val="clear" w:color="auto" w:fill="auto"/>
            <w:tcMar>
              <w:top w:w="0" w:type="dxa"/>
              <w:left w:w="108" w:type="dxa"/>
              <w:bottom w:w="0" w:type="dxa"/>
              <w:right w:w="108" w:type="dxa"/>
            </w:tcMar>
          </w:tcPr>
          <w:p w14:paraId="4E7F2FE6" w14:textId="77777777" w:rsidR="00D53DD1" w:rsidRPr="005D6214" w:rsidRDefault="00D53DD1" w:rsidP="000542FE">
            <w:pPr>
              <w:pStyle w:val="NoSpacing"/>
              <w:rPr>
                <w:b/>
                <w:color w:val="FF0000"/>
              </w:rPr>
            </w:pPr>
          </w:p>
        </w:tc>
        <w:tc>
          <w:tcPr>
            <w:tcW w:w="8935" w:type="dxa"/>
            <w:shd w:val="clear" w:color="auto" w:fill="auto"/>
            <w:tcMar>
              <w:top w:w="0" w:type="dxa"/>
              <w:left w:w="108" w:type="dxa"/>
              <w:bottom w:w="0" w:type="dxa"/>
              <w:right w:w="108" w:type="dxa"/>
            </w:tcMar>
          </w:tcPr>
          <w:p w14:paraId="2F8FC546" w14:textId="55DBE9EB" w:rsidR="008A1E99" w:rsidRPr="008A1E99" w:rsidRDefault="008A1E99" w:rsidP="008A1E99">
            <w:pPr>
              <w:pStyle w:val="xmsoplaintext"/>
              <w:rPr>
                <w:rFonts w:ascii="Verdana" w:hAnsi="Verdana" w:cs="Times New Roman"/>
              </w:rPr>
            </w:pPr>
            <w:r w:rsidRPr="008A1E99">
              <w:rPr>
                <w:rFonts w:ascii="Verdana" w:hAnsi="Verdana" w:cs="Times New Roman"/>
              </w:rPr>
              <w:t>It was clarified that the 1</w:t>
            </w:r>
            <w:r w:rsidR="00424A34">
              <w:rPr>
                <w:rFonts w:ascii="Verdana" w:hAnsi="Verdana" w:cs="Times New Roman"/>
              </w:rPr>
              <w:t>,</w:t>
            </w:r>
            <w:r w:rsidRPr="008A1E99">
              <w:rPr>
                <w:rFonts w:ascii="Verdana" w:hAnsi="Verdana" w:cs="Times New Roman"/>
              </w:rPr>
              <w:t xml:space="preserve">820 figure for recruitment is both a target and used for </w:t>
            </w:r>
            <w:r w:rsidR="00424A34">
              <w:rPr>
                <w:rFonts w:ascii="Verdana" w:hAnsi="Verdana" w:cs="Times New Roman"/>
              </w:rPr>
              <w:t xml:space="preserve">current </w:t>
            </w:r>
            <w:r w:rsidRPr="008A1E99">
              <w:rPr>
                <w:rFonts w:ascii="Verdana" w:hAnsi="Verdana" w:cs="Times New Roman"/>
              </w:rPr>
              <w:t>planning purposes.</w:t>
            </w:r>
          </w:p>
          <w:p w14:paraId="6027B83D" w14:textId="77777777" w:rsidR="008A1E99" w:rsidRPr="008A1E99" w:rsidRDefault="008A1E99" w:rsidP="008A1E99">
            <w:pPr>
              <w:pStyle w:val="xmsoplaintext"/>
              <w:rPr>
                <w:rFonts w:ascii="Verdana" w:hAnsi="Verdana" w:cs="Times New Roman"/>
              </w:rPr>
            </w:pPr>
          </w:p>
          <w:p w14:paraId="75717994" w14:textId="77777777" w:rsidR="00D53DD1" w:rsidRDefault="008A1E99" w:rsidP="00424A34">
            <w:pPr>
              <w:pStyle w:val="xmsoplaintext"/>
              <w:rPr>
                <w:rFonts w:ascii="Verdana" w:hAnsi="Verdana"/>
              </w:rPr>
            </w:pPr>
            <w:r>
              <w:rPr>
                <w:rFonts w:ascii="Verdana" w:hAnsi="Verdana"/>
              </w:rPr>
              <w:t>In response to an u</w:t>
            </w:r>
            <w:r w:rsidRPr="008A1E99">
              <w:rPr>
                <w:rFonts w:ascii="Verdana" w:hAnsi="Verdana"/>
              </w:rPr>
              <w:t xml:space="preserve">pdate requested at </w:t>
            </w:r>
            <w:r>
              <w:rPr>
                <w:rFonts w:ascii="Verdana" w:hAnsi="Verdana"/>
              </w:rPr>
              <w:t>the previous</w:t>
            </w:r>
            <w:r w:rsidRPr="008A1E99">
              <w:rPr>
                <w:rFonts w:ascii="Verdana" w:hAnsi="Verdana"/>
              </w:rPr>
              <w:t xml:space="preserve"> committee to change the Russell Group target to </w:t>
            </w:r>
            <w:r>
              <w:rPr>
                <w:rFonts w:ascii="Verdana" w:hAnsi="Verdana"/>
              </w:rPr>
              <w:t xml:space="preserve">one expressed in terms of </w:t>
            </w:r>
            <w:r w:rsidRPr="008A1E99">
              <w:rPr>
                <w:rFonts w:ascii="Verdana" w:hAnsi="Verdana"/>
              </w:rPr>
              <w:t>ambitious destinations</w:t>
            </w:r>
            <w:r>
              <w:rPr>
                <w:rFonts w:ascii="Verdana" w:hAnsi="Verdana"/>
              </w:rPr>
              <w:t xml:space="preserve">, it was reported that the request had been carefully considered but that it had been decided to maintain the existing target, </w:t>
            </w:r>
            <w:r w:rsidR="00424A34">
              <w:rPr>
                <w:rFonts w:ascii="Verdana" w:hAnsi="Verdana"/>
              </w:rPr>
              <w:t>though</w:t>
            </w:r>
            <w:r>
              <w:rPr>
                <w:rFonts w:ascii="Verdana" w:hAnsi="Verdana"/>
              </w:rPr>
              <w:t xml:space="preserve"> also to bring a report to the next meeting setting out more detail on student destinations.</w:t>
            </w:r>
          </w:p>
          <w:p w14:paraId="7228A071" w14:textId="77777777" w:rsidR="001E635C" w:rsidRDefault="001E635C" w:rsidP="00424A34">
            <w:pPr>
              <w:pStyle w:val="xmsoplaintext"/>
              <w:rPr>
                <w:rFonts w:ascii="Verdana" w:hAnsi="Verdana"/>
              </w:rPr>
            </w:pPr>
          </w:p>
          <w:p w14:paraId="128AEA3C" w14:textId="6683DDA3" w:rsidR="001E635C" w:rsidRPr="001E635C" w:rsidRDefault="001E635C" w:rsidP="00424A34">
            <w:pPr>
              <w:pStyle w:val="xmsoplaintext"/>
              <w:rPr>
                <w:rFonts w:ascii="Verdana" w:hAnsi="Verdana"/>
              </w:rPr>
            </w:pPr>
            <w:r>
              <w:rPr>
                <w:rFonts w:ascii="Verdana" w:hAnsi="Verdana"/>
              </w:rPr>
              <w:t>The Committee, on behalf of the Corporation, approved the new KPIs and their attendant targets.</w:t>
            </w:r>
          </w:p>
        </w:tc>
      </w:tr>
    </w:tbl>
    <w:p w14:paraId="431F59BE" w14:textId="77777777" w:rsidR="00D53DD1" w:rsidRDefault="00D53DD1" w:rsidP="00626F4B">
      <w:pPr>
        <w:rPr>
          <w:color w:val="FF0000"/>
        </w:rPr>
      </w:pPr>
    </w:p>
    <w:p w14:paraId="52E34B2D" w14:textId="7CC843CB" w:rsidR="003B5413" w:rsidRDefault="003B5413" w:rsidP="00626F4B">
      <w:pPr>
        <w:rPr>
          <w:color w:val="FF0000"/>
        </w:rPr>
      </w:pPr>
    </w:p>
    <w:p w14:paraId="29DDCF2A" w14:textId="3D614105" w:rsidR="001E635C" w:rsidRDefault="001E635C" w:rsidP="00626F4B">
      <w:pPr>
        <w:rPr>
          <w:color w:val="FF0000"/>
        </w:rPr>
      </w:pPr>
    </w:p>
    <w:p w14:paraId="66B1FDA2" w14:textId="77777777" w:rsidR="001E635C" w:rsidRDefault="001E635C"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96A58" w:rsidRPr="006D35B2" w14:paraId="5C452245" w14:textId="77777777" w:rsidTr="001E635C">
        <w:tc>
          <w:tcPr>
            <w:tcW w:w="529" w:type="dxa"/>
            <w:shd w:val="clear" w:color="auto" w:fill="auto"/>
            <w:tcMar>
              <w:top w:w="0" w:type="dxa"/>
              <w:left w:w="108" w:type="dxa"/>
              <w:bottom w:w="0" w:type="dxa"/>
              <w:right w:w="108" w:type="dxa"/>
            </w:tcMar>
          </w:tcPr>
          <w:p w14:paraId="3F74BF0E" w14:textId="3E0998DC" w:rsidR="00896A58" w:rsidRDefault="00896A58" w:rsidP="000542FE">
            <w:pPr>
              <w:pStyle w:val="NoSpacing"/>
              <w:rPr>
                <w:b/>
              </w:rPr>
            </w:pPr>
            <w:r>
              <w:rPr>
                <w:b/>
              </w:rPr>
              <w:lastRenderedPageBreak/>
              <w:t>9</w:t>
            </w:r>
          </w:p>
        </w:tc>
        <w:tc>
          <w:tcPr>
            <w:tcW w:w="8935" w:type="dxa"/>
            <w:shd w:val="clear" w:color="auto" w:fill="auto"/>
            <w:tcMar>
              <w:top w:w="0" w:type="dxa"/>
              <w:left w:w="108" w:type="dxa"/>
              <w:bottom w:w="0" w:type="dxa"/>
              <w:right w:w="108" w:type="dxa"/>
            </w:tcMar>
          </w:tcPr>
          <w:p w14:paraId="7CD2559F" w14:textId="7CC5CDD4" w:rsidR="00896A58" w:rsidRDefault="00896A58" w:rsidP="000542FE">
            <w:pPr>
              <w:rPr>
                <w:rFonts w:ascii="Verdana" w:hAnsi="Verdana"/>
                <w:b/>
              </w:rPr>
            </w:pPr>
            <w:r>
              <w:rPr>
                <w:rFonts w:ascii="Verdana" w:hAnsi="Verdana"/>
                <w:b/>
              </w:rPr>
              <w:t>Talent Lab</w:t>
            </w:r>
          </w:p>
          <w:p w14:paraId="2C2BB74A" w14:textId="77777777" w:rsidR="00896A58" w:rsidRDefault="00896A58" w:rsidP="000542FE">
            <w:pPr>
              <w:rPr>
                <w:rFonts w:ascii="Verdana" w:hAnsi="Verdana"/>
              </w:rPr>
            </w:pPr>
          </w:p>
          <w:p w14:paraId="2423558C" w14:textId="6B613698" w:rsidR="00896A58" w:rsidRDefault="00896A58" w:rsidP="000542FE">
            <w:pPr>
              <w:rPr>
                <w:rFonts w:ascii="Verdana" w:hAnsi="Verdana"/>
              </w:rPr>
            </w:pPr>
            <w:r>
              <w:rPr>
                <w:rFonts w:ascii="Verdana" w:hAnsi="Verdana"/>
              </w:rPr>
              <w:t>A report prepared by the Vice-Principal (</w:t>
            </w:r>
            <w:r w:rsidRPr="00FE7EDC">
              <w:rPr>
                <w:rFonts w:ascii="Verdana" w:hAnsi="Verdana"/>
              </w:rPr>
              <w:t>Student S</w:t>
            </w:r>
            <w:r>
              <w:rPr>
                <w:rFonts w:ascii="Verdana" w:hAnsi="Verdana"/>
              </w:rPr>
              <w:t>ervices and Recruitment) was received and considered.</w:t>
            </w:r>
          </w:p>
          <w:p w14:paraId="7A959028" w14:textId="77777777" w:rsidR="00896A58" w:rsidRDefault="00896A58" w:rsidP="000542FE">
            <w:pPr>
              <w:rPr>
                <w:rFonts w:ascii="Verdana" w:hAnsi="Verdana"/>
              </w:rPr>
            </w:pPr>
          </w:p>
          <w:p w14:paraId="56C8467E" w14:textId="28DE42D7" w:rsidR="00896A58" w:rsidRPr="006D35B2" w:rsidRDefault="00896A58" w:rsidP="000542FE">
            <w:pPr>
              <w:rPr>
                <w:rFonts w:ascii="Verdana" w:hAnsi="Verdana"/>
              </w:rPr>
            </w:pPr>
            <w:r>
              <w:rPr>
                <w:rFonts w:ascii="Verdana" w:hAnsi="Verdana"/>
              </w:rPr>
              <w:t>It was reported that:</w:t>
            </w:r>
          </w:p>
        </w:tc>
      </w:tr>
    </w:tbl>
    <w:p w14:paraId="541BFBB3" w14:textId="5093F4AB" w:rsidR="00777E84" w:rsidRDefault="00777E8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777E84" w:rsidRPr="00896A58" w14:paraId="26EB5E76" w14:textId="77777777" w:rsidTr="001E635C">
        <w:tc>
          <w:tcPr>
            <w:tcW w:w="534" w:type="dxa"/>
          </w:tcPr>
          <w:p w14:paraId="38CF1032" w14:textId="77777777" w:rsidR="00777E84" w:rsidRPr="002F412F" w:rsidRDefault="00777E84" w:rsidP="00B86CE5">
            <w:pPr>
              <w:rPr>
                <w:rFonts w:ascii="Verdana" w:hAnsi="Verdana"/>
                <w:color w:val="FF0000"/>
              </w:rPr>
            </w:pPr>
          </w:p>
        </w:tc>
        <w:tc>
          <w:tcPr>
            <w:tcW w:w="312" w:type="dxa"/>
          </w:tcPr>
          <w:p w14:paraId="7AAD1172" w14:textId="77777777" w:rsidR="00777E84" w:rsidRDefault="00777E84" w:rsidP="00B86CE5">
            <w:pPr>
              <w:rPr>
                <w:rFonts w:ascii="Verdana" w:hAnsi="Verdana"/>
                <w:b/>
              </w:rPr>
            </w:pPr>
            <w:r>
              <w:rPr>
                <w:rFonts w:ascii="Verdana" w:hAnsi="Verdana"/>
                <w:b/>
              </w:rPr>
              <w:t>.</w:t>
            </w:r>
          </w:p>
        </w:tc>
        <w:tc>
          <w:tcPr>
            <w:tcW w:w="8618" w:type="dxa"/>
          </w:tcPr>
          <w:p w14:paraId="5C8346F6" w14:textId="77777777" w:rsidR="00777E84" w:rsidRDefault="00777E84" w:rsidP="00B86CE5">
            <w:pPr>
              <w:rPr>
                <w:rFonts w:ascii="Verdana" w:hAnsi="Verdana"/>
              </w:rPr>
            </w:pPr>
            <w:r w:rsidRPr="00896A58">
              <w:rPr>
                <w:rFonts w:ascii="Verdana" w:hAnsi="Verdana"/>
              </w:rPr>
              <w:t xml:space="preserve">the </w:t>
            </w:r>
            <w:r>
              <w:rPr>
                <w:rFonts w:ascii="Verdana" w:hAnsi="Verdana"/>
              </w:rPr>
              <w:t>system</w:t>
            </w:r>
            <w:r w:rsidRPr="00896A58">
              <w:rPr>
                <w:rFonts w:ascii="Verdana" w:hAnsi="Verdana"/>
              </w:rPr>
              <w:t xml:space="preserve"> provides greater structure to activities that take place outside of the classroom, supporting learning and personal development, it having been designed to put into practice </w:t>
            </w:r>
            <w:r>
              <w:rPr>
                <w:rFonts w:ascii="Verdana" w:hAnsi="Verdana"/>
              </w:rPr>
              <w:t>the</w:t>
            </w:r>
            <w:r w:rsidRPr="00896A58">
              <w:rPr>
                <w:rFonts w:ascii="Verdana" w:hAnsi="Verdana"/>
              </w:rPr>
              <w:t xml:space="preserve"> belief that, </w:t>
            </w:r>
            <w:r>
              <w:rPr>
                <w:rFonts w:ascii="Verdana" w:hAnsi="Verdana"/>
              </w:rPr>
              <w:t>to enable</w:t>
            </w:r>
            <w:r w:rsidRPr="00896A58">
              <w:rPr>
                <w:rFonts w:ascii="Verdana" w:hAnsi="Verdana"/>
              </w:rPr>
              <w:t xml:space="preserve"> students </w:t>
            </w:r>
            <w:r>
              <w:rPr>
                <w:rFonts w:ascii="Verdana" w:hAnsi="Verdana"/>
              </w:rPr>
              <w:t xml:space="preserve">to </w:t>
            </w:r>
            <w:r w:rsidRPr="00896A58">
              <w:rPr>
                <w:rFonts w:ascii="Verdana" w:hAnsi="Verdana"/>
              </w:rPr>
              <w:t xml:space="preserve">commit to learning and </w:t>
            </w:r>
            <w:r>
              <w:rPr>
                <w:rFonts w:ascii="Verdana" w:hAnsi="Verdana"/>
              </w:rPr>
              <w:t xml:space="preserve">be </w:t>
            </w:r>
            <w:r w:rsidRPr="00896A58">
              <w:rPr>
                <w:rFonts w:ascii="Verdana" w:hAnsi="Verdana"/>
              </w:rPr>
              <w:t xml:space="preserve">willing to change habits and routines </w:t>
            </w:r>
            <w:r>
              <w:rPr>
                <w:rFonts w:ascii="Verdana" w:hAnsi="Verdana"/>
              </w:rPr>
              <w:t>which</w:t>
            </w:r>
            <w:r w:rsidRPr="00896A58">
              <w:rPr>
                <w:rFonts w:ascii="Verdana" w:hAnsi="Verdana"/>
              </w:rPr>
              <w:t xml:space="preserve"> may not be serving them well, daily, weekly and termly activities </w:t>
            </w:r>
            <w:r>
              <w:rPr>
                <w:rFonts w:ascii="Verdana" w:hAnsi="Verdana"/>
              </w:rPr>
              <w:t xml:space="preserve">much be structured </w:t>
            </w:r>
            <w:r w:rsidRPr="00896A58">
              <w:rPr>
                <w:rFonts w:ascii="Verdana" w:hAnsi="Verdana"/>
              </w:rPr>
              <w:t xml:space="preserve">so that engagement is </w:t>
            </w:r>
            <w:r>
              <w:rPr>
                <w:rFonts w:ascii="Verdana" w:hAnsi="Verdana"/>
              </w:rPr>
              <w:t xml:space="preserve">not only </w:t>
            </w:r>
            <w:r w:rsidRPr="00896A58">
              <w:rPr>
                <w:rFonts w:ascii="Verdana" w:hAnsi="Verdana"/>
              </w:rPr>
              <w:t>rewarded but also seen as the norm</w:t>
            </w:r>
            <w:r>
              <w:rPr>
                <w:rFonts w:ascii="Verdana" w:hAnsi="Verdana"/>
              </w:rPr>
              <w:t>;</w:t>
            </w:r>
          </w:p>
          <w:p w14:paraId="334631A5" w14:textId="77777777" w:rsidR="00777E84" w:rsidRPr="00896A58" w:rsidRDefault="00777E84" w:rsidP="00B86CE5">
            <w:pPr>
              <w:rPr>
                <w:rFonts w:ascii="Verdana" w:hAnsi="Verdana"/>
              </w:rPr>
            </w:pPr>
          </w:p>
        </w:tc>
      </w:tr>
      <w:tr w:rsidR="00777E84" w:rsidRPr="00A628C5" w14:paraId="0BE833EF" w14:textId="77777777" w:rsidTr="001E635C">
        <w:tc>
          <w:tcPr>
            <w:tcW w:w="534" w:type="dxa"/>
          </w:tcPr>
          <w:p w14:paraId="2E938E57" w14:textId="77777777" w:rsidR="00777E84" w:rsidRPr="002F412F" w:rsidRDefault="00777E84" w:rsidP="00B86CE5">
            <w:pPr>
              <w:rPr>
                <w:rFonts w:ascii="Verdana" w:hAnsi="Verdana"/>
                <w:color w:val="FF0000"/>
              </w:rPr>
            </w:pPr>
          </w:p>
        </w:tc>
        <w:tc>
          <w:tcPr>
            <w:tcW w:w="312" w:type="dxa"/>
          </w:tcPr>
          <w:p w14:paraId="6DC85F4B" w14:textId="77777777" w:rsidR="00777E84" w:rsidRDefault="00777E84" w:rsidP="00B86CE5">
            <w:pPr>
              <w:rPr>
                <w:rFonts w:ascii="Verdana" w:hAnsi="Verdana"/>
                <w:b/>
              </w:rPr>
            </w:pPr>
            <w:r>
              <w:rPr>
                <w:rFonts w:ascii="Verdana" w:hAnsi="Verdana"/>
                <w:b/>
              </w:rPr>
              <w:t>.</w:t>
            </w:r>
          </w:p>
        </w:tc>
        <w:tc>
          <w:tcPr>
            <w:tcW w:w="8618" w:type="dxa"/>
          </w:tcPr>
          <w:p w14:paraId="3AFCA939" w14:textId="77777777" w:rsidR="00777E84" w:rsidRPr="001340FF" w:rsidRDefault="00777E84" w:rsidP="00B86CE5">
            <w:pPr>
              <w:rPr>
                <w:rFonts w:ascii="Verdana" w:hAnsi="Verdana"/>
                <w:i/>
                <w:iCs/>
              </w:rPr>
            </w:pPr>
            <w:r w:rsidRPr="00A628C5">
              <w:rPr>
                <w:rFonts w:ascii="Verdana" w:hAnsi="Verdana"/>
              </w:rPr>
              <w:t>typical activities which are offered on each day include independent study, silent study, group work, meetings with Progress Coach/Personal mentor</w:t>
            </w:r>
            <w:r>
              <w:rPr>
                <w:rFonts w:ascii="Verdana" w:hAnsi="Verdana"/>
              </w:rPr>
              <w:t>, as well as sporting activities, talks and other events</w:t>
            </w:r>
            <w:r w:rsidRPr="00A628C5">
              <w:rPr>
                <w:rFonts w:ascii="Verdana" w:hAnsi="Verdana"/>
              </w:rPr>
              <w:t>;</w:t>
            </w:r>
            <w:r>
              <w:rPr>
                <w:rFonts w:ascii="Verdana" w:hAnsi="Verdana"/>
              </w:rPr>
              <w:t xml:space="preserve"> </w:t>
            </w:r>
            <w:r>
              <w:rPr>
                <w:rFonts w:ascii="Verdana" w:hAnsi="Verdana"/>
                <w:i/>
                <w:iCs/>
              </w:rPr>
              <w:t>or</w:t>
            </w:r>
          </w:p>
          <w:p w14:paraId="09F4B59E" w14:textId="77777777" w:rsidR="00777E84" w:rsidRPr="00A628C5" w:rsidRDefault="00777E84" w:rsidP="00B86CE5">
            <w:pPr>
              <w:rPr>
                <w:rFonts w:ascii="Verdana" w:hAnsi="Verdana"/>
              </w:rPr>
            </w:pPr>
          </w:p>
        </w:tc>
      </w:tr>
      <w:tr w:rsidR="00777E84" w:rsidRPr="00A628C5" w14:paraId="27E3D681" w14:textId="77777777" w:rsidTr="001E635C">
        <w:tc>
          <w:tcPr>
            <w:tcW w:w="534" w:type="dxa"/>
          </w:tcPr>
          <w:p w14:paraId="661D20E1" w14:textId="77777777" w:rsidR="00777E84" w:rsidRPr="002F412F" w:rsidRDefault="00777E84" w:rsidP="00B86CE5">
            <w:pPr>
              <w:rPr>
                <w:rFonts w:ascii="Verdana" w:hAnsi="Verdana"/>
                <w:color w:val="FF0000"/>
              </w:rPr>
            </w:pPr>
          </w:p>
        </w:tc>
        <w:tc>
          <w:tcPr>
            <w:tcW w:w="312" w:type="dxa"/>
          </w:tcPr>
          <w:p w14:paraId="06833567" w14:textId="77777777" w:rsidR="00777E84" w:rsidRDefault="00777E84" w:rsidP="00B86CE5">
            <w:pPr>
              <w:rPr>
                <w:rFonts w:ascii="Verdana" w:hAnsi="Verdana"/>
                <w:b/>
              </w:rPr>
            </w:pPr>
            <w:r>
              <w:rPr>
                <w:rFonts w:ascii="Verdana" w:hAnsi="Verdana"/>
                <w:b/>
              </w:rPr>
              <w:t>.</w:t>
            </w:r>
          </w:p>
        </w:tc>
        <w:tc>
          <w:tcPr>
            <w:tcW w:w="8618" w:type="dxa"/>
          </w:tcPr>
          <w:p w14:paraId="72A465D7" w14:textId="77777777" w:rsidR="00777E84" w:rsidRPr="00A628C5" w:rsidRDefault="00777E84" w:rsidP="00B86CE5">
            <w:pPr>
              <w:rPr>
                <w:rFonts w:ascii="Verdana" w:hAnsi="Verdana"/>
              </w:rPr>
            </w:pPr>
            <w:r>
              <w:rPr>
                <w:rFonts w:ascii="Verdana" w:hAnsi="Verdana"/>
              </w:rPr>
              <w:t>t</w:t>
            </w:r>
            <w:r w:rsidRPr="00A628C5">
              <w:rPr>
                <w:rFonts w:ascii="Verdana" w:hAnsi="Verdana"/>
              </w:rPr>
              <w:t>eachers or support staff might set specific tasks or projects for students to complete</w:t>
            </w:r>
            <w:r>
              <w:rPr>
                <w:rFonts w:ascii="Verdana" w:hAnsi="Verdana"/>
              </w:rPr>
              <w:t>.</w:t>
            </w:r>
          </w:p>
        </w:tc>
      </w:tr>
    </w:tbl>
    <w:p w14:paraId="76D20B8F" w14:textId="77777777" w:rsidR="00777E84" w:rsidRDefault="00777E8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1340FF" w:rsidRPr="001340FF" w14:paraId="0E6E9F36" w14:textId="77777777" w:rsidTr="001E635C">
        <w:tc>
          <w:tcPr>
            <w:tcW w:w="529" w:type="dxa"/>
            <w:shd w:val="clear" w:color="auto" w:fill="auto"/>
            <w:tcMar>
              <w:top w:w="0" w:type="dxa"/>
              <w:left w:w="108" w:type="dxa"/>
              <w:bottom w:w="0" w:type="dxa"/>
              <w:right w:w="108" w:type="dxa"/>
            </w:tcMar>
          </w:tcPr>
          <w:p w14:paraId="4409FA12" w14:textId="77777777" w:rsidR="001340FF" w:rsidRPr="001340FF" w:rsidRDefault="001340FF" w:rsidP="000542FE">
            <w:pPr>
              <w:pStyle w:val="NoSpacing"/>
              <w:rPr>
                <w:b/>
                <w:color w:val="FF0000"/>
              </w:rPr>
            </w:pPr>
          </w:p>
        </w:tc>
        <w:tc>
          <w:tcPr>
            <w:tcW w:w="8935" w:type="dxa"/>
            <w:shd w:val="clear" w:color="auto" w:fill="auto"/>
            <w:tcMar>
              <w:top w:w="0" w:type="dxa"/>
              <w:left w:w="108" w:type="dxa"/>
              <w:bottom w:w="0" w:type="dxa"/>
              <w:right w:w="108" w:type="dxa"/>
            </w:tcMar>
          </w:tcPr>
          <w:p w14:paraId="4DCB61AA" w14:textId="718249B5" w:rsidR="001340FF" w:rsidRPr="001340FF" w:rsidRDefault="001340FF" w:rsidP="000542FE">
            <w:pPr>
              <w:rPr>
                <w:rFonts w:ascii="Verdana" w:hAnsi="Verdana"/>
              </w:rPr>
            </w:pPr>
            <w:r w:rsidRPr="001340FF">
              <w:rPr>
                <w:rFonts w:ascii="Verdana" w:hAnsi="Verdana"/>
              </w:rPr>
              <w:t>Progress reported from the first term include:</w:t>
            </w:r>
          </w:p>
        </w:tc>
      </w:tr>
    </w:tbl>
    <w:p w14:paraId="761DC07C" w14:textId="23972E0F" w:rsidR="00896A58" w:rsidRPr="001340FF" w:rsidRDefault="00896A58" w:rsidP="00626F4B">
      <w:pPr>
        <w:rPr>
          <w:rFonts w:ascii="Verdana" w:hAnsi="Verdana"/>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1340FF" w:rsidRPr="001340FF" w14:paraId="40251F66" w14:textId="77777777" w:rsidTr="001E635C">
        <w:tc>
          <w:tcPr>
            <w:tcW w:w="534" w:type="dxa"/>
          </w:tcPr>
          <w:p w14:paraId="0BD3D400" w14:textId="77777777" w:rsidR="001340FF" w:rsidRPr="001340FF" w:rsidRDefault="001340FF" w:rsidP="000542FE">
            <w:pPr>
              <w:rPr>
                <w:rFonts w:ascii="Verdana" w:hAnsi="Verdana"/>
                <w:color w:val="FF0000"/>
              </w:rPr>
            </w:pPr>
          </w:p>
        </w:tc>
        <w:tc>
          <w:tcPr>
            <w:tcW w:w="312" w:type="dxa"/>
          </w:tcPr>
          <w:p w14:paraId="5878C2B7" w14:textId="77777777" w:rsidR="001340FF" w:rsidRPr="001340FF" w:rsidRDefault="001340FF" w:rsidP="000542FE">
            <w:pPr>
              <w:rPr>
                <w:rFonts w:ascii="Verdana" w:hAnsi="Verdana"/>
                <w:b/>
              </w:rPr>
            </w:pPr>
            <w:r w:rsidRPr="001340FF">
              <w:rPr>
                <w:rFonts w:ascii="Verdana" w:hAnsi="Verdana"/>
                <w:b/>
              </w:rPr>
              <w:t>.</w:t>
            </w:r>
          </w:p>
        </w:tc>
        <w:tc>
          <w:tcPr>
            <w:tcW w:w="8618" w:type="dxa"/>
          </w:tcPr>
          <w:p w14:paraId="249CA74E" w14:textId="77777777" w:rsidR="001340FF" w:rsidRPr="001340FF" w:rsidRDefault="001340FF" w:rsidP="000542FE">
            <w:pPr>
              <w:rPr>
                <w:rFonts w:ascii="Verdana" w:hAnsi="Verdana"/>
              </w:rPr>
            </w:pPr>
            <w:r w:rsidRPr="001340FF">
              <w:rPr>
                <w:rFonts w:ascii="Verdana" w:hAnsi="Verdana"/>
              </w:rPr>
              <w:t>a substantial increase in the number of students working productively on site during Period 2, with the library now full, and other spaces, such as the canteen, regularly full of students working independently at this time - a marginal improvement in attendance at Period 2 has also been seen as a result of not allowing students to leave site at break time;</w:t>
            </w:r>
          </w:p>
          <w:p w14:paraId="4F59B943" w14:textId="7CE97E3B" w:rsidR="001340FF" w:rsidRPr="001340FF" w:rsidRDefault="001340FF" w:rsidP="000542FE">
            <w:pPr>
              <w:rPr>
                <w:rFonts w:ascii="Verdana" w:hAnsi="Verdana"/>
              </w:rPr>
            </w:pPr>
          </w:p>
        </w:tc>
      </w:tr>
      <w:tr w:rsidR="001340FF" w:rsidRPr="00A628C5" w14:paraId="429DBDD3" w14:textId="77777777" w:rsidTr="001E635C">
        <w:tc>
          <w:tcPr>
            <w:tcW w:w="534" w:type="dxa"/>
          </w:tcPr>
          <w:p w14:paraId="6B3260A5" w14:textId="77777777" w:rsidR="001340FF" w:rsidRPr="002F412F" w:rsidRDefault="001340FF" w:rsidP="000542FE">
            <w:pPr>
              <w:rPr>
                <w:rFonts w:ascii="Verdana" w:hAnsi="Verdana"/>
                <w:color w:val="FF0000"/>
              </w:rPr>
            </w:pPr>
          </w:p>
        </w:tc>
        <w:tc>
          <w:tcPr>
            <w:tcW w:w="312" w:type="dxa"/>
          </w:tcPr>
          <w:p w14:paraId="06B29CEB" w14:textId="77777777" w:rsidR="001340FF" w:rsidRDefault="001340FF" w:rsidP="000542FE">
            <w:pPr>
              <w:rPr>
                <w:rFonts w:ascii="Verdana" w:hAnsi="Verdana"/>
                <w:b/>
              </w:rPr>
            </w:pPr>
            <w:r>
              <w:rPr>
                <w:rFonts w:ascii="Verdana" w:hAnsi="Verdana"/>
                <w:b/>
              </w:rPr>
              <w:t>.</w:t>
            </w:r>
          </w:p>
        </w:tc>
        <w:tc>
          <w:tcPr>
            <w:tcW w:w="8618" w:type="dxa"/>
          </w:tcPr>
          <w:p w14:paraId="12E2CAAB" w14:textId="77777777" w:rsidR="001340FF" w:rsidRDefault="001340FF" w:rsidP="001340FF">
            <w:pPr>
              <w:rPr>
                <w:rFonts w:ascii="Verdana" w:hAnsi="Verdana"/>
              </w:rPr>
            </w:pPr>
            <w:r w:rsidRPr="001340FF">
              <w:rPr>
                <w:rFonts w:ascii="Verdana" w:hAnsi="Verdana"/>
              </w:rPr>
              <w:t>a very substantial increase in the number of students participating in College Sports, with the Sports Hall now oversubscribed in Period 2, and the gym utilised far more effectively;</w:t>
            </w:r>
            <w:r>
              <w:rPr>
                <w:rFonts w:ascii="Verdana" w:hAnsi="Verdana"/>
              </w:rPr>
              <w:t xml:space="preserve"> </w:t>
            </w:r>
          </w:p>
          <w:p w14:paraId="1EA532E2" w14:textId="6BF436AF" w:rsidR="001340FF" w:rsidRPr="001340FF" w:rsidRDefault="001340FF" w:rsidP="001340FF">
            <w:pPr>
              <w:rPr>
                <w:rFonts w:ascii="Verdana" w:hAnsi="Verdana"/>
              </w:rPr>
            </w:pPr>
          </w:p>
        </w:tc>
      </w:tr>
      <w:tr w:rsidR="001340FF" w:rsidRPr="00A628C5" w14:paraId="5CEC3B98" w14:textId="77777777" w:rsidTr="001E635C">
        <w:tc>
          <w:tcPr>
            <w:tcW w:w="534" w:type="dxa"/>
          </w:tcPr>
          <w:p w14:paraId="38882A8F" w14:textId="77777777" w:rsidR="001340FF" w:rsidRPr="002F412F" w:rsidRDefault="001340FF" w:rsidP="000542FE">
            <w:pPr>
              <w:rPr>
                <w:rFonts w:ascii="Verdana" w:hAnsi="Verdana"/>
                <w:color w:val="FF0000"/>
              </w:rPr>
            </w:pPr>
          </w:p>
        </w:tc>
        <w:tc>
          <w:tcPr>
            <w:tcW w:w="312" w:type="dxa"/>
          </w:tcPr>
          <w:p w14:paraId="5AD580CC" w14:textId="77777777" w:rsidR="001340FF" w:rsidRDefault="001340FF" w:rsidP="000542FE">
            <w:pPr>
              <w:rPr>
                <w:rFonts w:ascii="Verdana" w:hAnsi="Verdana"/>
                <w:b/>
              </w:rPr>
            </w:pPr>
            <w:r>
              <w:rPr>
                <w:rFonts w:ascii="Verdana" w:hAnsi="Verdana"/>
                <w:b/>
              </w:rPr>
              <w:t>.</w:t>
            </w:r>
          </w:p>
        </w:tc>
        <w:tc>
          <w:tcPr>
            <w:tcW w:w="8618" w:type="dxa"/>
          </w:tcPr>
          <w:p w14:paraId="03FE8504" w14:textId="0F2F4329" w:rsidR="001340FF" w:rsidRPr="001340FF" w:rsidRDefault="001340FF" w:rsidP="001340FF">
            <w:pPr>
              <w:rPr>
                <w:rFonts w:ascii="Verdana" w:hAnsi="Verdana"/>
                <w:i/>
                <w:iCs/>
              </w:rPr>
            </w:pPr>
            <w:r w:rsidRPr="001340FF">
              <w:rPr>
                <w:rFonts w:ascii="Verdana" w:hAnsi="Verdana" w:cstheme="minorHAnsi"/>
              </w:rPr>
              <w:t xml:space="preserve">building on the introduction of Pathway Gatherings in 2017-18 and whole college assemblies in 2018-19, </w:t>
            </w:r>
            <w:r>
              <w:rPr>
                <w:rFonts w:ascii="Verdana" w:hAnsi="Verdana" w:cstheme="minorHAnsi"/>
              </w:rPr>
              <w:t xml:space="preserve">the inclusion under </w:t>
            </w:r>
            <w:r w:rsidRPr="001340FF">
              <w:rPr>
                <w:rFonts w:ascii="Verdana" w:hAnsi="Verdana" w:cstheme="minorHAnsi"/>
              </w:rPr>
              <w:t xml:space="preserve">Talent Lab </w:t>
            </w:r>
            <w:r>
              <w:rPr>
                <w:rFonts w:ascii="Verdana" w:hAnsi="Verdana" w:cstheme="minorHAnsi"/>
              </w:rPr>
              <w:t>of</w:t>
            </w:r>
            <w:r w:rsidRPr="001340FF">
              <w:rPr>
                <w:rFonts w:ascii="Verdana" w:hAnsi="Verdana" w:cstheme="minorHAnsi"/>
              </w:rPr>
              <w:t xml:space="preserve"> more whole college and Pathway specific assemblies with less disruption to lessons; </w:t>
            </w:r>
            <w:r w:rsidRPr="001340FF">
              <w:rPr>
                <w:rFonts w:ascii="Verdana" w:hAnsi="Verdana"/>
                <w:i/>
                <w:iCs/>
              </w:rPr>
              <w:t>and</w:t>
            </w:r>
          </w:p>
          <w:p w14:paraId="4BBAEB93" w14:textId="5641941D" w:rsidR="001340FF" w:rsidRPr="001340FF" w:rsidRDefault="001340FF" w:rsidP="000542FE">
            <w:pPr>
              <w:rPr>
                <w:rFonts w:ascii="Verdana" w:hAnsi="Verdana"/>
              </w:rPr>
            </w:pPr>
          </w:p>
        </w:tc>
      </w:tr>
      <w:tr w:rsidR="001340FF" w:rsidRPr="001340FF" w14:paraId="59EB1430" w14:textId="77777777" w:rsidTr="001E635C">
        <w:tc>
          <w:tcPr>
            <w:tcW w:w="534" w:type="dxa"/>
          </w:tcPr>
          <w:p w14:paraId="4CC44F97" w14:textId="77777777" w:rsidR="001340FF" w:rsidRPr="001340FF" w:rsidRDefault="001340FF" w:rsidP="000542FE">
            <w:pPr>
              <w:rPr>
                <w:rFonts w:ascii="Verdana" w:hAnsi="Verdana"/>
                <w:color w:val="FF0000"/>
              </w:rPr>
            </w:pPr>
          </w:p>
        </w:tc>
        <w:tc>
          <w:tcPr>
            <w:tcW w:w="312" w:type="dxa"/>
          </w:tcPr>
          <w:p w14:paraId="222E1F9C" w14:textId="2A7249F5" w:rsidR="001340FF" w:rsidRPr="001340FF" w:rsidRDefault="001340FF" w:rsidP="000542FE">
            <w:pPr>
              <w:rPr>
                <w:rFonts w:ascii="Verdana" w:hAnsi="Verdana"/>
                <w:b/>
              </w:rPr>
            </w:pPr>
            <w:r w:rsidRPr="001340FF">
              <w:rPr>
                <w:rFonts w:ascii="Verdana" w:hAnsi="Verdana"/>
                <w:b/>
              </w:rPr>
              <w:t>.</w:t>
            </w:r>
          </w:p>
        </w:tc>
        <w:tc>
          <w:tcPr>
            <w:tcW w:w="8618" w:type="dxa"/>
          </w:tcPr>
          <w:p w14:paraId="5E7F6FA6" w14:textId="793D8381" w:rsidR="001340FF" w:rsidRPr="001340FF" w:rsidRDefault="001340FF" w:rsidP="001340FF">
            <w:pPr>
              <w:rPr>
                <w:rFonts w:ascii="Verdana" w:hAnsi="Verdana" w:cstheme="minorHAnsi"/>
              </w:rPr>
            </w:pPr>
            <w:r w:rsidRPr="001340FF">
              <w:rPr>
                <w:rFonts w:ascii="Verdana" w:hAnsi="Verdana" w:cstheme="minorHAnsi"/>
                <w:bCs/>
              </w:rPr>
              <w:t>a wide range of well-attended external speakers and college events, with the mandatory element of Talent Lab having led to much higher attendance at talks and workshops outside of lessons.</w:t>
            </w:r>
          </w:p>
        </w:tc>
      </w:tr>
    </w:tbl>
    <w:p w14:paraId="79CEC120" w14:textId="77777777" w:rsidR="001340FF" w:rsidRPr="001340FF" w:rsidRDefault="001340FF" w:rsidP="00626F4B">
      <w:pPr>
        <w:rPr>
          <w:rFonts w:ascii="Verdana" w:hAnsi="Verdana"/>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1340FF" w:rsidRPr="00512E4E" w14:paraId="296194A4" w14:textId="77777777" w:rsidTr="001E635C">
        <w:tc>
          <w:tcPr>
            <w:tcW w:w="529" w:type="dxa"/>
            <w:shd w:val="clear" w:color="auto" w:fill="auto"/>
            <w:tcMar>
              <w:top w:w="0" w:type="dxa"/>
              <w:left w:w="108" w:type="dxa"/>
              <w:bottom w:w="0" w:type="dxa"/>
              <w:right w:w="108" w:type="dxa"/>
            </w:tcMar>
          </w:tcPr>
          <w:p w14:paraId="038E2A65" w14:textId="77777777" w:rsidR="001340FF" w:rsidRPr="00512E4E" w:rsidRDefault="001340FF" w:rsidP="000542FE">
            <w:pPr>
              <w:pStyle w:val="NoSpacing"/>
              <w:rPr>
                <w:b/>
                <w:color w:val="FF0000"/>
              </w:rPr>
            </w:pPr>
          </w:p>
        </w:tc>
        <w:tc>
          <w:tcPr>
            <w:tcW w:w="8935" w:type="dxa"/>
            <w:shd w:val="clear" w:color="auto" w:fill="auto"/>
            <w:tcMar>
              <w:top w:w="0" w:type="dxa"/>
              <w:left w:w="108" w:type="dxa"/>
              <w:bottom w:w="0" w:type="dxa"/>
              <w:right w:w="108" w:type="dxa"/>
            </w:tcMar>
          </w:tcPr>
          <w:p w14:paraId="5EF64643" w14:textId="7D60C228" w:rsidR="001340FF" w:rsidRPr="00512E4E" w:rsidRDefault="001340FF" w:rsidP="001340FF">
            <w:pPr>
              <w:rPr>
                <w:rFonts w:ascii="Verdana" w:hAnsi="Verdana"/>
              </w:rPr>
            </w:pPr>
            <w:r w:rsidRPr="00512E4E">
              <w:rPr>
                <w:rFonts w:ascii="Verdana" w:hAnsi="Verdana"/>
              </w:rPr>
              <w:t>In December 2019, students</w:t>
            </w:r>
            <w:r w:rsidR="00512E4E" w:rsidRPr="00512E4E">
              <w:rPr>
                <w:rFonts w:ascii="Verdana" w:hAnsi="Verdana"/>
              </w:rPr>
              <w:t xml:space="preserve"> were asked</w:t>
            </w:r>
            <w:r w:rsidRPr="00512E4E">
              <w:rPr>
                <w:rFonts w:ascii="Verdana" w:hAnsi="Verdana"/>
              </w:rPr>
              <w:t xml:space="preserve"> for the first time in the student survey whether they were encouraged to work hard outside lessons. This was a question, in part, to test whether Talent Lab is having a desired effect on encouraging a hard</w:t>
            </w:r>
            <w:r w:rsidR="00512E4E" w:rsidRPr="00512E4E">
              <w:rPr>
                <w:rFonts w:ascii="Verdana" w:hAnsi="Verdana"/>
              </w:rPr>
              <w:t>-</w:t>
            </w:r>
            <w:r w:rsidRPr="00512E4E">
              <w:rPr>
                <w:rFonts w:ascii="Verdana" w:hAnsi="Verdana"/>
              </w:rPr>
              <w:t xml:space="preserve">working culture. </w:t>
            </w:r>
            <w:r w:rsidR="00512E4E" w:rsidRPr="00512E4E">
              <w:rPr>
                <w:rFonts w:ascii="Verdana" w:hAnsi="Verdana"/>
              </w:rPr>
              <w:t xml:space="preserve"> </w:t>
            </w:r>
            <w:r w:rsidRPr="00512E4E">
              <w:rPr>
                <w:rFonts w:ascii="Verdana" w:hAnsi="Verdana"/>
              </w:rPr>
              <w:t>91% of students agreed that they were encouraged to work hard outside of lessons.</w:t>
            </w:r>
          </w:p>
          <w:p w14:paraId="04056C26" w14:textId="5F12ABC5" w:rsidR="00512E4E" w:rsidRPr="00512E4E" w:rsidRDefault="00512E4E" w:rsidP="001340FF">
            <w:pPr>
              <w:rPr>
                <w:rFonts w:ascii="Verdana" w:hAnsi="Verdana"/>
              </w:rPr>
            </w:pPr>
          </w:p>
          <w:p w14:paraId="5B9E7E64" w14:textId="03DC60F1" w:rsidR="00512E4E" w:rsidRPr="00512E4E" w:rsidRDefault="00512E4E" w:rsidP="00512E4E">
            <w:pPr>
              <w:pStyle w:val="PlainText"/>
              <w:rPr>
                <w:rFonts w:ascii="Verdana" w:hAnsi="Verdana"/>
              </w:rPr>
            </w:pPr>
            <w:r w:rsidRPr="00512E4E">
              <w:rPr>
                <w:rFonts w:ascii="Verdana" w:hAnsi="Verdana"/>
              </w:rPr>
              <w:t xml:space="preserve">To gain qualitative feedback, a sample of 300 Talent Lab reflections from the Winter Passport gave a snapshot of student opinion. These were overwhelmingly positive and significantly more detailed and expressive than </w:t>
            </w:r>
            <w:r w:rsidRPr="00512E4E">
              <w:rPr>
                <w:rFonts w:ascii="Verdana" w:hAnsi="Verdana"/>
              </w:rPr>
              <w:lastRenderedPageBreak/>
              <w:t>the equivalent ‘FutureFest’ enrichment reflections last year. In addition, the extended SLT have engaged in numerous conversations with students on Talent Lab through Deep Dives, at Entry Periods and during Talent Lab itself.</w:t>
            </w:r>
          </w:p>
          <w:p w14:paraId="6A5486B8" w14:textId="77777777" w:rsidR="00512E4E" w:rsidRPr="00512E4E" w:rsidRDefault="00512E4E" w:rsidP="001340FF">
            <w:pPr>
              <w:rPr>
                <w:rFonts w:ascii="Verdana" w:hAnsi="Verdana"/>
              </w:rPr>
            </w:pPr>
          </w:p>
          <w:p w14:paraId="1652643C" w14:textId="603F12B6" w:rsidR="00512E4E" w:rsidRPr="00512E4E" w:rsidRDefault="00512E4E" w:rsidP="00512E4E">
            <w:pPr>
              <w:pStyle w:val="PlainText"/>
              <w:rPr>
                <w:rFonts w:ascii="Verdana" w:hAnsi="Verdana"/>
              </w:rPr>
            </w:pPr>
            <w:r w:rsidRPr="00512E4E">
              <w:rPr>
                <w:rFonts w:ascii="Verdana" w:hAnsi="Verdana"/>
              </w:rPr>
              <w:t>Most students are using Talent Lab for private study. Many appreciate the structure it gives them and feel it has improved their time management. Some students consider that it has relieved stress and anxiety. They reflect positively on their experiences, demonstrating that many are broadening their experience outside of independent study. Some said that they had made new friends through taking part in new activities.</w:t>
            </w:r>
          </w:p>
          <w:p w14:paraId="023B737C" w14:textId="77777777" w:rsidR="001340FF" w:rsidRPr="00512E4E" w:rsidRDefault="001340FF" w:rsidP="000542FE">
            <w:pPr>
              <w:rPr>
                <w:rFonts w:ascii="Verdana" w:hAnsi="Verdana"/>
              </w:rPr>
            </w:pPr>
          </w:p>
          <w:p w14:paraId="09BCF0A3" w14:textId="304D512F" w:rsidR="00512E4E" w:rsidRPr="00512E4E" w:rsidRDefault="00512E4E" w:rsidP="00512E4E">
            <w:pPr>
              <w:pStyle w:val="PlainText"/>
              <w:rPr>
                <w:rFonts w:ascii="Verdana" w:hAnsi="Verdana"/>
              </w:rPr>
            </w:pPr>
            <w:r w:rsidRPr="00512E4E">
              <w:rPr>
                <w:rFonts w:ascii="Verdana" w:hAnsi="Verdana"/>
              </w:rPr>
              <w:t xml:space="preserve">Most students understand the rationale for the introduction of Talent Lab and value it.  A small minority do not, and this generally presents through attempting to gain exit at break, or not settling to an activity by 12:00. Generally, however, students are more likely to understand the rationale when these conversations or reflections are 1:1, away from their peers. This is evidenced in the sample of 300 Talent Lab personal reflections as part of the Monoux Passport, which were overwhelmingly positive. </w:t>
            </w:r>
          </w:p>
          <w:p w14:paraId="02448610" w14:textId="77777777" w:rsidR="00512E4E" w:rsidRPr="00512E4E" w:rsidRDefault="00512E4E" w:rsidP="000542FE">
            <w:pPr>
              <w:rPr>
                <w:rFonts w:ascii="Verdana" w:hAnsi="Verdana"/>
              </w:rPr>
            </w:pPr>
          </w:p>
          <w:p w14:paraId="0DC972FF" w14:textId="77777777" w:rsidR="00512E4E" w:rsidRPr="00512E4E" w:rsidRDefault="00512E4E" w:rsidP="000542FE">
            <w:pPr>
              <w:rPr>
                <w:rFonts w:ascii="Verdana" w:hAnsi="Verdana"/>
              </w:rPr>
            </w:pPr>
            <w:r w:rsidRPr="00512E4E">
              <w:rPr>
                <w:rFonts w:ascii="Verdana" w:hAnsi="Verdana"/>
              </w:rPr>
              <w:t>However, whilst a majority make productive use of their time, students need significant support to minimise distractions from their study or personal development.  Often, this is due to mobile phones/ social media and group pressure.  Although some students use phones positively during Talent Lab (for example, to access Teams, listen to music or to carry out research), a minority of students find it very challenging to not engage with social media or remove themselves from their peers in order to work effectively.</w:t>
            </w:r>
          </w:p>
          <w:p w14:paraId="253C12BC" w14:textId="77777777" w:rsidR="00512E4E" w:rsidRPr="00512E4E" w:rsidRDefault="00512E4E" w:rsidP="000542FE">
            <w:pPr>
              <w:rPr>
                <w:rFonts w:ascii="Verdana" w:hAnsi="Verdana"/>
              </w:rPr>
            </w:pPr>
          </w:p>
          <w:p w14:paraId="22703376" w14:textId="2C3ACE7D" w:rsidR="00512E4E" w:rsidRPr="00512E4E" w:rsidRDefault="00512E4E" w:rsidP="00512E4E">
            <w:pPr>
              <w:pStyle w:val="PlainText"/>
              <w:rPr>
                <w:rFonts w:ascii="Verdana" w:hAnsi="Verdana"/>
              </w:rPr>
            </w:pPr>
            <w:r w:rsidRPr="00512E4E">
              <w:rPr>
                <w:rFonts w:ascii="Verdana" w:hAnsi="Verdana"/>
              </w:rPr>
              <w:t xml:space="preserve">These observations are of interest, as they help build an understanding of the ability of students to work independently when off site, and without the structure of a timetabled session. This needs to be a focus of attention in order for students to reach the expected standards of productivity. Different methods to reduce these distractions have been trialled, such as introducing a ‘front-of-house’ service in the Library to encourage students to consider how they intend to utilise the space before they enter and to assign students different computers (thereby helping students who arrive in groups to work independently and away from their peers).  </w:t>
            </w:r>
          </w:p>
          <w:p w14:paraId="78F58A31" w14:textId="77777777" w:rsidR="00512E4E" w:rsidRPr="00512E4E" w:rsidRDefault="00512E4E" w:rsidP="000542FE">
            <w:pPr>
              <w:rPr>
                <w:rFonts w:ascii="Verdana" w:hAnsi="Verdana"/>
              </w:rPr>
            </w:pPr>
          </w:p>
          <w:p w14:paraId="24A706AE" w14:textId="77777777" w:rsidR="00512E4E" w:rsidRPr="00512E4E" w:rsidRDefault="00512E4E" w:rsidP="000542FE">
            <w:pPr>
              <w:rPr>
                <w:rFonts w:ascii="Verdana" w:hAnsi="Verdana"/>
              </w:rPr>
            </w:pPr>
            <w:r w:rsidRPr="00512E4E">
              <w:rPr>
                <w:rFonts w:ascii="Verdana" w:hAnsi="Verdana"/>
              </w:rPr>
              <w:t xml:space="preserve">Students have also commented that they would like more facility for private study that is silent and access to computers during Period 2 Talent Lab. Since the start of term, and within a tight budget this academic year, the College has been attempting to meet this demand. </w:t>
            </w:r>
          </w:p>
          <w:p w14:paraId="4D82CF75" w14:textId="77777777" w:rsidR="00512E4E" w:rsidRPr="00512E4E" w:rsidRDefault="00512E4E" w:rsidP="000542FE">
            <w:pPr>
              <w:rPr>
                <w:rFonts w:ascii="Verdana" w:hAnsi="Verdana"/>
              </w:rPr>
            </w:pPr>
          </w:p>
          <w:p w14:paraId="71336AD0" w14:textId="77777777" w:rsidR="00512E4E" w:rsidRDefault="00512E4E" w:rsidP="000542FE">
            <w:pPr>
              <w:rPr>
                <w:rFonts w:ascii="Verdana" w:eastAsia="Times New Roman" w:hAnsi="Verdana"/>
              </w:rPr>
            </w:pPr>
            <w:r w:rsidRPr="00512E4E">
              <w:rPr>
                <w:rFonts w:ascii="Verdana" w:eastAsia="Times New Roman" w:hAnsi="Verdana"/>
              </w:rPr>
              <w:t xml:space="preserve">Due to the way Talent Lab appears on the student timetable, approximately a quarter of students do not currently have a mandatory Talent Lab session (though these are still able to engage in Talent Lab during Period 1 and 3, and many do so voluntarily). </w:t>
            </w:r>
            <w:r w:rsidR="00E86DE9">
              <w:rPr>
                <w:rFonts w:ascii="Verdana" w:eastAsia="Times New Roman" w:hAnsi="Verdana"/>
              </w:rPr>
              <w:t xml:space="preserve"> </w:t>
            </w:r>
            <w:r w:rsidRPr="00512E4E">
              <w:rPr>
                <w:rFonts w:ascii="Verdana" w:eastAsia="Times New Roman" w:hAnsi="Verdana"/>
              </w:rPr>
              <w:t xml:space="preserve">These are mainly students who are doing one of (or mainly both) English and Maths and who therefore have a relatively full timetable. </w:t>
            </w:r>
            <w:r w:rsidR="00E86DE9">
              <w:rPr>
                <w:rFonts w:ascii="Verdana" w:eastAsia="Times New Roman" w:hAnsi="Verdana"/>
              </w:rPr>
              <w:t xml:space="preserve"> The College is</w:t>
            </w:r>
            <w:r w:rsidRPr="00512E4E">
              <w:rPr>
                <w:rFonts w:ascii="Verdana" w:eastAsia="Times New Roman" w:hAnsi="Verdana"/>
              </w:rPr>
              <w:t xml:space="preserve"> planning to expand mandatory Talent Lab to all students from next academic year</w:t>
            </w:r>
            <w:r w:rsidR="00E86DE9">
              <w:rPr>
                <w:rFonts w:ascii="Verdana" w:eastAsia="Times New Roman" w:hAnsi="Verdana"/>
              </w:rPr>
              <w:t>.</w:t>
            </w:r>
          </w:p>
          <w:p w14:paraId="74971130" w14:textId="77777777" w:rsidR="00E86DE9" w:rsidRDefault="00E86DE9" w:rsidP="000542FE">
            <w:pPr>
              <w:rPr>
                <w:rFonts w:ascii="Verdana" w:hAnsi="Verdana"/>
              </w:rPr>
            </w:pPr>
          </w:p>
          <w:p w14:paraId="637FD507" w14:textId="77777777" w:rsidR="00E86DE9" w:rsidRDefault="00E86DE9" w:rsidP="000542FE">
            <w:pPr>
              <w:rPr>
                <w:rFonts w:ascii="Verdana" w:hAnsi="Verdana"/>
              </w:rPr>
            </w:pPr>
            <w:r>
              <w:rPr>
                <w:rFonts w:ascii="Verdana" w:hAnsi="Verdana"/>
              </w:rPr>
              <w:t>Features of and challenges in relation to the Monoux Passport and Entry Periods were also noted.</w:t>
            </w:r>
          </w:p>
          <w:p w14:paraId="6D9D01B9" w14:textId="77777777" w:rsidR="00424A34" w:rsidRDefault="00424A34" w:rsidP="000542FE">
            <w:pPr>
              <w:rPr>
                <w:rFonts w:ascii="Verdana" w:hAnsi="Verdana"/>
              </w:rPr>
            </w:pPr>
          </w:p>
          <w:p w14:paraId="6550325B" w14:textId="12FDE656" w:rsidR="00424A34" w:rsidRDefault="00424A34" w:rsidP="00424A34">
            <w:pPr>
              <w:rPr>
                <w:rFonts w:ascii="Verdana" w:hAnsi="Verdana"/>
                <w:color w:val="000000"/>
              </w:rPr>
            </w:pPr>
            <w:r w:rsidRPr="00424A34">
              <w:rPr>
                <w:rFonts w:ascii="Verdana" w:hAnsi="Verdana"/>
                <w:color w:val="000000"/>
              </w:rPr>
              <w:t xml:space="preserve">The Principal indicated that Talent Lab </w:t>
            </w:r>
            <w:r>
              <w:rPr>
                <w:rFonts w:ascii="Verdana" w:hAnsi="Verdana"/>
                <w:color w:val="000000"/>
              </w:rPr>
              <w:t>remains</w:t>
            </w:r>
            <w:r w:rsidRPr="00424A34">
              <w:rPr>
                <w:rFonts w:ascii="Verdana" w:hAnsi="Verdana"/>
                <w:color w:val="000000"/>
              </w:rPr>
              <w:t xml:space="preserve"> in development</w:t>
            </w:r>
            <w:r>
              <w:rPr>
                <w:rFonts w:ascii="Verdana" w:hAnsi="Verdana"/>
                <w:color w:val="000000"/>
              </w:rPr>
              <w:t>, and that at present</w:t>
            </w:r>
            <w:r w:rsidRPr="00424A34">
              <w:rPr>
                <w:rFonts w:ascii="Verdana" w:hAnsi="Verdana"/>
                <w:color w:val="000000"/>
              </w:rPr>
              <w:t xml:space="preserve"> too many students see it as simply an acti</w:t>
            </w:r>
            <w:r>
              <w:rPr>
                <w:rFonts w:ascii="Verdana" w:hAnsi="Verdana"/>
                <w:color w:val="000000"/>
              </w:rPr>
              <w:t>v</w:t>
            </w:r>
            <w:r w:rsidRPr="00424A34">
              <w:rPr>
                <w:rFonts w:ascii="Verdana" w:hAnsi="Verdana"/>
                <w:color w:val="000000"/>
              </w:rPr>
              <w:t xml:space="preserve">ity for the second period of the day. </w:t>
            </w:r>
            <w:r>
              <w:rPr>
                <w:rFonts w:ascii="Verdana" w:hAnsi="Verdana"/>
                <w:color w:val="000000"/>
              </w:rPr>
              <w:t xml:space="preserve"> </w:t>
            </w:r>
            <w:r w:rsidRPr="00424A34">
              <w:rPr>
                <w:rFonts w:ascii="Verdana" w:hAnsi="Verdana"/>
                <w:color w:val="000000"/>
              </w:rPr>
              <w:t xml:space="preserve">Mindsets are changing but </w:t>
            </w:r>
            <w:r>
              <w:rPr>
                <w:rFonts w:ascii="Verdana" w:hAnsi="Verdana"/>
                <w:color w:val="000000"/>
              </w:rPr>
              <w:t xml:space="preserve">there is </w:t>
            </w:r>
            <w:r w:rsidRPr="00424A34">
              <w:rPr>
                <w:rFonts w:ascii="Verdana" w:hAnsi="Verdana"/>
                <w:color w:val="000000"/>
              </w:rPr>
              <w:t>much more to do</w:t>
            </w:r>
            <w:r>
              <w:rPr>
                <w:rFonts w:ascii="Verdana" w:hAnsi="Verdana"/>
                <w:color w:val="000000"/>
              </w:rPr>
              <w:t>.</w:t>
            </w:r>
          </w:p>
          <w:p w14:paraId="719D8880" w14:textId="77777777" w:rsidR="00424A34" w:rsidRPr="00424A34" w:rsidRDefault="00424A34" w:rsidP="00424A34">
            <w:pPr>
              <w:rPr>
                <w:rFonts w:ascii="Verdana" w:eastAsiaTheme="minorHAnsi" w:hAnsi="Verdana"/>
                <w:color w:val="000000"/>
              </w:rPr>
            </w:pPr>
          </w:p>
          <w:p w14:paraId="50A8A83F" w14:textId="1598F090" w:rsidR="00424A34" w:rsidRDefault="00424A34" w:rsidP="00424A34">
            <w:pPr>
              <w:rPr>
                <w:rFonts w:ascii="Verdana" w:hAnsi="Verdana"/>
                <w:color w:val="000000"/>
              </w:rPr>
            </w:pPr>
            <w:r>
              <w:rPr>
                <w:rFonts w:ascii="Verdana" w:hAnsi="Verdana"/>
                <w:color w:val="000000"/>
              </w:rPr>
              <w:t>The Committee Chair</w:t>
            </w:r>
            <w:r w:rsidRPr="00424A34">
              <w:rPr>
                <w:rFonts w:ascii="Verdana" w:hAnsi="Verdana"/>
                <w:color w:val="000000"/>
              </w:rPr>
              <w:t xml:space="preserve"> </w:t>
            </w:r>
            <w:r>
              <w:rPr>
                <w:rFonts w:ascii="Verdana" w:hAnsi="Verdana"/>
                <w:color w:val="000000"/>
              </w:rPr>
              <w:t>enquired about the application of</w:t>
            </w:r>
            <w:r w:rsidRPr="00424A34">
              <w:rPr>
                <w:rFonts w:ascii="Verdana" w:hAnsi="Verdana"/>
                <w:color w:val="000000"/>
              </w:rPr>
              <w:t xml:space="preserve"> resources</w:t>
            </w:r>
            <w:r>
              <w:rPr>
                <w:rFonts w:ascii="Verdana" w:hAnsi="Verdana"/>
                <w:color w:val="000000"/>
              </w:rPr>
              <w:t xml:space="preserve"> to the activity given</w:t>
            </w:r>
            <w:r w:rsidRPr="00424A34">
              <w:rPr>
                <w:rFonts w:ascii="Verdana" w:hAnsi="Verdana"/>
                <w:color w:val="000000"/>
              </w:rPr>
              <w:t xml:space="preserve"> that</w:t>
            </w:r>
            <w:r w:rsidR="00B92707">
              <w:rPr>
                <w:rFonts w:ascii="Verdana" w:hAnsi="Verdana"/>
                <w:color w:val="000000"/>
              </w:rPr>
              <w:t xml:space="preserve"> the</w:t>
            </w:r>
            <w:r w:rsidRPr="00424A34">
              <w:rPr>
                <w:rFonts w:ascii="Verdana" w:hAnsi="Verdana"/>
                <w:color w:val="000000"/>
              </w:rPr>
              <w:t xml:space="preserve"> library is full, </w:t>
            </w:r>
            <w:r w:rsidR="00B92707">
              <w:rPr>
                <w:rFonts w:ascii="Verdana" w:hAnsi="Verdana"/>
                <w:color w:val="000000"/>
              </w:rPr>
              <w:t xml:space="preserve">the number of </w:t>
            </w:r>
            <w:r w:rsidRPr="00424A34">
              <w:rPr>
                <w:rFonts w:ascii="Verdana" w:hAnsi="Verdana"/>
                <w:color w:val="000000"/>
              </w:rPr>
              <w:t xml:space="preserve">computers running short and </w:t>
            </w:r>
            <w:r>
              <w:rPr>
                <w:rFonts w:ascii="Verdana" w:hAnsi="Verdana"/>
                <w:color w:val="000000"/>
              </w:rPr>
              <w:t xml:space="preserve">the </w:t>
            </w:r>
            <w:r w:rsidRPr="00424A34">
              <w:rPr>
                <w:rFonts w:ascii="Verdana" w:hAnsi="Verdana"/>
                <w:color w:val="000000"/>
              </w:rPr>
              <w:t xml:space="preserve">sports hall at capacity. </w:t>
            </w:r>
            <w:r>
              <w:rPr>
                <w:rFonts w:ascii="Verdana" w:hAnsi="Verdana"/>
                <w:color w:val="000000"/>
              </w:rPr>
              <w:t xml:space="preserve"> </w:t>
            </w:r>
            <w:r w:rsidRPr="00424A34">
              <w:rPr>
                <w:rFonts w:ascii="Verdana" w:hAnsi="Verdana"/>
                <w:color w:val="000000"/>
              </w:rPr>
              <w:t xml:space="preserve">SLT responded that an extra member of staff had been employed to oversee Talent Lab, new computers had been purchased and that they </w:t>
            </w:r>
            <w:r>
              <w:rPr>
                <w:rFonts w:ascii="Verdana" w:hAnsi="Verdana"/>
                <w:color w:val="000000"/>
              </w:rPr>
              <w:t>a</w:t>
            </w:r>
            <w:r w:rsidRPr="00424A34">
              <w:rPr>
                <w:rFonts w:ascii="Verdana" w:hAnsi="Verdana"/>
                <w:color w:val="000000"/>
              </w:rPr>
              <w:t xml:space="preserve">re mindful of the need to ensure proper resourcing in line with the extra student activity. </w:t>
            </w:r>
            <w:r>
              <w:rPr>
                <w:rFonts w:ascii="Verdana" w:hAnsi="Verdana"/>
                <w:color w:val="000000"/>
              </w:rPr>
              <w:t xml:space="preserve"> </w:t>
            </w:r>
            <w:r w:rsidRPr="00424A34">
              <w:rPr>
                <w:rFonts w:ascii="Verdana" w:hAnsi="Verdana"/>
                <w:color w:val="000000"/>
              </w:rPr>
              <w:t>Additional temporary classrooms are being built at the campus to accommodate the increased student body.</w:t>
            </w:r>
          </w:p>
          <w:p w14:paraId="19F7EB4D" w14:textId="570A970D" w:rsidR="00424A34" w:rsidRDefault="00424A34" w:rsidP="00424A34">
            <w:pPr>
              <w:rPr>
                <w:rFonts w:ascii="Verdana" w:hAnsi="Verdana"/>
                <w:color w:val="000000"/>
              </w:rPr>
            </w:pPr>
          </w:p>
          <w:p w14:paraId="5C6142D2" w14:textId="728F2E63" w:rsidR="00424A34" w:rsidRPr="00424A34" w:rsidRDefault="00424A34" w:rsidP="00424A34">
            <w:pPr>
              <w:pStyle w:val="xmsoplaintext"/>
              <w:rPr>
                <w:rFonts w:ascii="Verdana" w:hAnsi="Verdana" w:cs="Times New Roman"/>
              </w:rPr>
            </w:pPr>
            <w:r w:rsidRPr="00424A34">
              <w:rPr>
                <w:rFonts w:ascii="Verdana" w:hAnsi="Verdana"/>
                <w:color w:val="000000"/>
              </w:rPr>
              <w:t xml:space="preserve">In response to a question as to how much of Talent Lab is </w:t>
            </w:r>
            <w:r>
              <w:rPr>
                <w:rFonts w:ascii="Verdana" w:hAnsi="Verdana"/>
                <w:color w:val="000000"/>
              </w:rPr>
              <w:t xml:space="preserve">led by </w:t>
            </w:r>
            <w:r w:rsidRPr="00424A34">
              <w:rPr>
                <w:rFonts w:ascii="Verdana" w:hAnsi="Verdana"/>
                <w:color w:val="000000"/>
              </w:rPr>
              <w:t>student</w:t>
            </w:r>
            <w:r>
              <w:rPr>
                <w:rFonts w:ascii="Verdana" w:hAnsi="Verdana"/>
                <w:color w:val="000000"/>
              </w:rPr>
              <w:t>s</w:t>
            </w:r>
            <w:r w:rsidRPr="00424A34">
              <w:rPr>
                <w:rFonts w:ascii="Verdana" w:hAnsi="Verdana"/>
                <w:color w:val="000000"/>
              </w:rPr>
              <w:t>, it was reported that</w:t>
            </w:r>
            <w:r w:rsidR="00B92707">
              <w:rPr>
                <w:rFonts w:ascii="Verdana" w:hAnsi="Verdana"/>
                <w:color w:val="000000"/>
              </w:rPr>
              <w:t>,</w:t>
            </w:r>
            <w:r w:rsidRPr="00424A34">
              <w:rPr>
                <w:rFonts w:ascii="Verdana" w:hAnsi="Verdana"/>
                <w:color w:val="000000"/>
              </w:rPr>
              <w:t xml:space="preserve"> </w:t>
            </w:r>
            <w:r>
              <w:rPr>
                <w:rFonts w:ascii="Verdana" w:hAnsi="Verdana"/>
                <w:color w:val="000000"/>
              </w:rPr>
              <w:t>w</w:t>
            </w:r>
            <w:r w:rsidRPr="00424A34">
              <w:rPr>
                <w:rFonts w:ascii="Verdana" w:hAnsi="Verdana" w:cs="Times New Roman"/>
              </w:rPr>
              <w:t>hilst students have been involved in developing small study groups and running student voice workshops</w:t>
            </w:r>
            <w:r w:rsidR="00B92707">
              <w:rPr>
                <w:rFonts w:ascii="Verdana" w:hAnsi="Verdana" w:cs="Times New Roman"/>
              </w:rPr>
              <w:t>,</w:t>
            </w:r>
            <w:r w:rsidRPr="00424A34">
              <w:rPr>
                <w:rFonts w:ascii="Verdana" w:hAnsi="Verdana" w:cs="Times New Roman"/>
              </w:rPr>
              <w:t xml:space="preserve"> </w:t>
            </w:r>
            <w:r>
              <w:rPr>
                <w:rFonts w:ascii="Verdana" w:hAnsi="Verdana" w:cs="Times New Roman"/>
              </w:rPr>
              <w:t>th</w:t>
            </w:r>
            <w:r w:rsidRPr="00424A34">
              <w:rPr>
                <w:rFonts w:ascii="Verdana" w:hAnsi="Verdana" w:cs="Times New Roman"/>
              </w:rPr>
              <w:t>e</w:t>
            </w:r>
            <w:r>
              <w:rPr>
                <w:rFonts w:ascii="Verdana" w:hAnsi="Verdana" w:cs="Times New Roman"/>
              </w:rPr>
              <w:t xml:space="preserve"> College is</w:t>
            </w:r>
            <w:r w:rsidRPr="00424A34">
              <w:rPr>
                <w:rFonts w:ascii="Verdana" w:hAnsi="Verdana" w:cs="Times New Roman"/>
              </w:rPr>
              <w:t xml:space="preserve"> looking to develop the amount of student-led activity in Talent Lab. </w:t>
            </w:r>
            <w:r>
              <w:rPr>
                <w:rFonts w:ascii="Verdana" w:hAnsi="Verdana" w:cs="Times New Roman"/>
              </w:rPr>
              <w:t xml:space="preserve"> </w:t>
            </w:r>
            <w:r w:rsidRPr="00424A34">
              <w:rPr>
                <w:rFonts w:ascii="Verdana" w:hAnsi="Verdana" w:cs="Times New Roman"/>
              </w:rPr>
              <w:t>For example, there is a History Reading group which ha</w:t>
            </w:r>
            <w:r w:rsidR="00B92707">
              <w:rPr>
                <w:rFonts w:ascii="Verdana" w:hAnsi="Verdana" w:cs="Times New Roman"/>
              </w:rPr>
              <w:t>d</w:t>
            </w:r>
            <w:r w:rsidRPr="00424A34">
              <w:rPr>
                <w:rFonts w:ascii="Verdana" w:hAnsi="Verdana" w:cs="Times New Roman"/>
              </w:rPr>
              <w:t xml:space="preserve"> been running for a few weeks</w:t>
            </w:r>
            <w:r w:rsidR="00B92707">
              <w:rPr>
                <w:rFonts w:ascii="Verdana" w:hAnsi="Verdana" w:cs="Times New Roman"/>
              </w:rPr>
              <w:t xml:space="preserve">, and which </w:t>
            </w:r>
            <w:r w:rsidRPr="00424A34">
              <w:rPr>
                <w:rFonts w:ascii="Verdana" w:hAnsi="Verdana" w:cs="Times New Roman"/>
              </w:rPr>
              <w:t xml:space="preserve">is </w:t>
            </w:r>
            <w:r>
              <w:rPr>
                <w:rFonts w:ascii="Verdana" w:hAnsi="Verdana" w:cs="Times New Roman"/>
              </w:rPr>
              <w:t xml:space="preserve">an example of </w:t>
            </w:r>
            <w:r w:rsidRPr="00424A34">
              <w:rPr>
                <w:rFonts w:ascii="Verdana" w:hAnsi="Verdana" w:cs="Times New Roman"/>
              </w:rPr>
              <w:t>something that</w:t>
            </w:r>
            <w:r w:rsidR="00B92707">
              <w:rPr>
                <w:rFonts w:ascii="Verdana" w:hAnsi="Verdana" w:cs="Times New Roman"/>
              </w:rPr>
              <w:t xml:space="preserve"> in the longer term</w:t>
            </w:r>
            <w:r w:rsidRPr="00424A34">
              <w:rPr>
                <w:rFonts w:ascii="Verdana" w:hAnsi="Verdana" w:cs="Times New Roman"/>
              </w:rPr>
              <w:t xml:space="preserve"> could be handed over to studen</w:t>
            </w:r>
            <w:r>
              <w:rPr>
                <w:rFonts w:ascii="Verdana" w:hAnsi="Verdana" w:cs="Times New Roman"/>
              </w:rPr>
              <w:t>t leadership</w:t>
            </w:r>
            <w:r w:rsidRPr="00424A34">
              <w:rPr>
                <w:rFonts w:ascii="Verdana" w:hAnsi="Verdana" w:cs="Times New Roman"/>
              </w:rPr>
              <w:t>.</w:t>
            </w:r>
          </w:p>
          <w:p w14:paraId="1A4D4B3B" w14:textId="77777777" w:rsidR="00424A34" w:rsidRPr="00424A34" w:rsidRDefault="00424A34" w:rsidP="00424A34">
            <w:pPr>
              <w:pStyle w:val="xmsoplaintext"/>
              <w:rPr>
                <w:rFonts w:ascii="Verdana" w:hAnsi="Verdana" w:cs="Times New Roman"/>
              </w:rPr>
            </w:pPr>
            <w:r w:rsidRPr="00424A34">
              <w:rPr>
                <w:rFonts w:ascii="Verdana" w:hAnsi="Verdana" w:cs="Times New Roman"/>
              </w:rPr>
              <w:t> </w:t>
            </w:r>
          </w:p>
          <w:p w14:paraId="7FFD097A" w14:textId="486A2EA0" w:rsidR="00424A34" w:rsidRPr="005104D0" w:rsidRDefault="00424A34" w:rsidP="000542FE">
            <w:pPr>
              <w:rPr>
                <w:rFonts w:ascii="Verdana" w:hAnsi="Verdana"/>
                <w:color w:val="000000"/>
              </w:rPr>
            </w:pPr>
            <w:r>
              <w:rPr>
                <w:rFonts w:ascii="Verdana" w:hAnsi="Verdana"/>
              </w:rPr>
              <w:t>It was agreed that</w:t>
            </w:r>
            <w:r w:rsidRPr="00424A34">
              <w:rPr>
                <w:rFonts w:ascii="Verdana" w:hAnsi="Verdana"/>
              </w:rPr>
              <w:t xml:space="preserve"> Talent Lab ha</w:t>
            </w:r>
            <w:r w:rsidR="005104D0">
              <w:rPr>
                <w:rFonts w:ascii="Verdana" w:hAnsi="Verdana"/>
              </w:rPr>
              <w:t>d</w:t>
            </w:r>
            <w:r w:rsidRPr="00424A34">
              <w:rPr>
                <w:rFonts w:ascii="Verdana" w:hAnsi="Verdana"/>
              </w:rPr>
              <w:t xml:space="preserve"> been a positive and brave introduction to the </w:t>
            </w:r>
            <w:r w:rsidR="005104D0">
              <w:rPr>
                <w:rFonts w:ascii="Verdana" w:hAnsi="Verdana"/>
              </w:rPr>
              <w:t>C</w:t>
            </w:r>
            <w:r w:rsidRPr="00424A34">
              <w:rPr>
                <w:rFonts w:ascii="Verdana" w:hAnsi="Verdana"/>
              </w:rPr>
              <w:t xml:space="preserve">ollege, but is not </w:t>
            </w:r>
            <w:r w:rsidR="00B92707">
              <w:rPr>
                <w:rFonts w:ascii="Verdana" w:hAnsi="Verdana"/>
              </w:rPr>
              <w:t>yet fully reliased</w:t>
            </w:r>
            <w:r w:rsidRPr="00424A34">
              <w:rPr>
                <w:rFonts w:ascii="Verdana" w:hAnsi="Verdana"/>
              </w:rPr>
              <w:t xml:space="preserve">. </w:t>
            </w:r>
            <w:r w:rsidR="005104D0">
              <w:rPr>
                <w:rFonts w:ascii="Verdana" w:hAnsi="Verdana"/>
              </w:rPr>
              <w:t xml:space="preserve"> </w:t>
            </w:r>
            <w:r w:rsidRPr="00424A34">
              <w:rPr>
                <w:rFonts w:ascii="Verdana" w:hAnsi="Verdana"/>
              </w:rPr>
              <w:t xml:space="preserve">In particular, it must be seen </w:t>
            </w:r>
            <w:r w:rsidR="00B92707">
              <w:rPr>
                <w:rFonts w:ascii="Verdana" w:hAnsi="Verdana"/>
              </w:rPr>
              <w:t>as</w:t>
            </w:r>
            <w:r w:rsidR="005104D0">
              <w:rPr>
                <w:rFonts w:ascii="Verdana" w:hAnsi="Verdana"/>
              </w:rPr>
              <w:t xml:space="preserve"> </w:t>
            </w:r>
            <w:r w:rsidRPr="00424A34">
              <w:rPr>
                <w:rFonts w:ascii="Verdana" w:hAnsi="Verdana"/>
              </w:rPr>
              <w:t xml:space="preserve">wider than just </w:t>
            </w:r>
            <w:r w:rsidR="00B92707">
              <w:rPr>
                <w:rFonts w:ascii="Verdana" w:hAnsi="Verdana"/>
              </w:rPr>
              <w:t>a</w:t>
            </w:r>
            <w:r w:rsidRPr="00424A34">
              <w:rPr>
                <w:rFonts w:ascii="Verdana" w:hAnsi="Verdana"/>
              </w:rPr>
              <w:t xml:space="preserve"> Period 2</w:t>
            </w:r>
            <w:r w:rsidR="00B92707">
              <w:rPr>
                <w:rFonts w:ascii="Verdana" w:hAnsi="Verdana"/>
              </w:rPr>
              <w:t xml:space="preserve"> activity</w:t>
            </w:r>
            <w:r w:rsidR="005104D0">
              <w:rPr>
                <w:rFonts w:ascii="Verdana" w:hAnsi="Verdana"/>
              </w:rPr>
              <w:t xml:space="preserve">, </w:t>
            </w:r>
            <w:r w:rsidR="00B92707">
              <w:rPr>
                <w:rFonts w:ascii="Verdana" w:hAnsi="Verdana"/>
              </w:rPr>
              <w:t xml:space="preserve">and as </w:t>
            </w:r>
            <w:r w:rsidRPr="00424A34">
              <w:rPr>
                <w:rFonts w:ascii="Verdana" w:hAnsi="Verdana"/>
              </w:rPr>
              <w:t>encompass</w:t>
            </w:r>
            <w:r w:rsidR="005104D0">
              <w:rPr>
                <w:rFonts w:ascii="Verdana" w:hAnsi="Verdana"/>
              </w:rPr>
              <w:t xml:space="preserve">ing </w:t>
            </w:r>
            <w:r w:rsidRPr="00424A34">
              <w:rPr>
                <w:rFonts w:ascii="Verdana" w:hAnsi="Verdana"/>
              </w:rPr>
              <w:t>all additional college activit</w:t>
            </w:r>
            <w:r w:rsidR="00B92707">
              <w:rPr>
                <w:rFonts w:ascii="Verdana" w:hAnsi="Verdana"/>
              </w:rPr>
              <w:t>ies in which</w:t>
            </w:r>
            <w:r w:rsidRPr="00424A34">
              <w:rPr>
                <w:rFonts w:ascii="Verdana" w:hAnsi="Verdana"/>
              </w:rPr>
              <w:t xml:space="preserve"> students engage</w:t>
            </w:r>
            <w:r w:rsidR="005104D0">
              <w:rPr>
                <w:rFonts w:ascii="Verdana" w:hAnsi="Verdana"/>
              </w:rPr>
              <w:t xml:space="preserve"> </w:t>
            </w:r>
            <w:r w:rsidRPr="00424A34">
              <w:rPr>
                <w:rFonts w:ascii="Verdana" w:hAnsi="Verdana"/>
              </w:rPr>
              <w:t>outside lessons.</w:t>
            </w:r>
          </w:p>
        </w:tc>
      </w:tr>
    </w:tbl>
    <w:p w14:paraId="6EA787D5" w14:textId="77777777" w:rsidR="00896A58" w:rsidRPr="00424A34" w:rsidRDefault="00896A58" w:rsidP="00626F4B">
      <w:pPr>
        <w:rPr>
          <w:rFonts w:ascii="Verdana" w:hAnsi="Verdana"/>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A13D88" w:rsidRPr="00424A34" w14:paraId="77702639" w14:textId="77777777" w:rsidTr="001E635C">
        <w:tc>
          <w:tcPr>
            <w:tcW w:w="529" w:type="dxa"/>
            <w:shd w:val="clear" w:color="auto" w:fill="auto"/>
            <w:tcMar>
              <w:top w:w="0" w:type="dxa"/>
              <w:left w:w="108" w:type="dxa"/>
              <w:bottom w:w="0" w:type="dxa"/>
              <w:right w:w="108" w:type="dxa"/>
            </w:tcMar>
          </w:tcPr>
          <w:p w14:paraId="148592E0" w14:textId="141A439F" w:rsidR="00A13D88" w:rsidRPr="00424A34" w:rsidRDefault="00896A58" w:rsidP="006C31BB">
            <w:pPr>
              <w:pStyle w:val="NoSpacing"/>
              <w:rPr>
                <w:b/>
              </w:rPr>
            </w:pPr>
            <w:r w:rsidRPr="00424A34">
              <w:rPr>
                <w:b/>
              </w:rPr>
              <w:t>10</w:t>
            </w:r>
          </w:p>
        </w:tc>
        <w:tc>
          <w:tcPr>
            <w:tcW w:w="8935" w:type="dxa"/>
            <w:shd w:val="clear" w:color="auto" w:fill="auto"/>
            <w:tcMar>
              <w:top w:w="0" w:type="dxa"/>
              <w:left w:w="108" w:type="dxa"/>
              <w:bottom w:w="0" w:type="dxa"/>
              <w:right w:w="108" w:type="dxa"/>
            </w:tcMar>
          </w:tcPr>
          <w:p w14:paraId="2BA5081E" w14:textId="77777777" w:rsidR="00A13D88" w:rsidRPr="00424A34" w:rsidRDefault="00A13D88" w:rsidP="00A13D88">
            <w:pPr>
              <w:rPr>
                <w:rFonts w:ascii="Verdana" w:hAnsi="Verdana"/>
                <w:b/>
              </w:rPr>
            </w:pPr>
            <w:r w:rsidRPr="00424A34">
              <w:rPr>
                <w:rFonts w:ascii="Verdana" w:hAnsi="Verdana"/>
                <w:b/>
              </w:rPr>
              <w:t>Student Survey Report</w:t>
            </w:r>
          </w:p>
          <w:p w14:paraId="040DCCB8" w14:textId="77777777" w:rsidR="00A13D88" w:rsidRPr="00424A34" w:rsidRDefault="00A13D88" w:rsidP="006C31BB">
            <w:pPr>
              <w:rPr>
                <w:rFonts w:ascii="Verdana" w:hAnsi="Verdana"/>
              </w:rPr>
            </w:pPr>
          </w:p>
          <w:p w14:paraId="6070F246" w14:textId="67E2A377" w:rsidR="00A13D88" w:rsidRPr="00424A34" w:rsidRDefault="00A13D88" w:rsidP="006C31BB">
            <w:pPr>
              <w:rPr>
                <w:rFonts w:ascii="Verdana" w:hAnsi="Verdana"/>
              </w:rPr>
            </w:pPr>
            <w:r w:rsidRPr="00424A34">
              <w:rPr>
                <w:rFonts w:ascii="Verdana" w:hAnsi="Verdana"/>
              </w:rPr>
              <w:t xml:space="preserve">A report following the </w:t>
            </w:r>
            <w:r w:rsidR="00E86DE9" w:rsidRPr="00424A34">
              <w:rPr>
                <w:rFonts w:ascii="Verdana" w:hAnsi="Verdana"/>
              </w:rPr>
              <w:t>December</w:t>
            </w:r>
            <w:r w:rsidRPr="00424A34">
              <w:rPr>
                <w:rFonts w:ascii="Verdana" w:hAnsi="Verdana"/>
              </w:rPr>
              <w:t xml:space="preserve"> 2019 survey was received and considered.</w:t>
            </w:r>
          </w:p>
          <w:p w14:paraId="1615603D" w14:textId="77777777" w:rsidR="00A13D88" w:rsidRPr="00424A34" w:rsidRDefault="00A13D88" w:rsidP="006C31BB">
            <w:pPr>
              <w:rPr>
                <w:rFonts w:ascii="Verdana" w:hAnsi="Verdana"/>
              </w:rPr>
            </w:pPr>
          </w:p>
          <w:p w14:paraId="5D469287" w14:textId="50806263" w:rsidR="00A13D88" w:rsidRPr="00424A34" w:rsidRDefault="00A13D88" w:rsidP="006C31BB">
            <w:pPr>
              <w:rPr>
                <w:rFonts w:ascii="Verdana" w:hAnsi="Verdana"/>
              </w:rPr>
            </w:pPr>
            <w:r w:rsidRPr="00424A34">
              <w:rPr>
                <w:rFonts w:ascii="Verdana" w:hAnsi="Verdana"/>
              </w:rPr>
              <w:t>It was noted that:</w:t>
            </w:r>
          </w:p>
        </w:tc>
      </w:tr>
    </w:tbl>
    <w:p w14:paraId="3368C929" w14:textId="55F9F3D9" w:rsidR="003B5413" w:rsidRDefault="003B5413"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A13D88" w:rsidRPr="00A13D88" w14:paraId="6B4D5AE8" w14:textId="77777777" w:rsidTr="001E635C">
        <w:tc>
          <w:tcPr>
            <w:tcW w:w="534" w:type="dxa"/>
          </w:tcPr>
          <w:p w14:paraId="1215FE50" w14:textId="77777777" w:rsidR="00A13D88" w:rsidRPr="002F412F" w:rsidRDefault="00A13D88" w:rsidP="006C31BB">
            <w:pPr>
              <w:rPr>
                <w:rFonts w:ascii="Verdana" w:hAnsi="Verdana"/>
                <w:color w:val="FF0000"/>
              </w:rPr>
            </w:pPr>
          </w:p>
        </w:tc>
        <w:tc>
          <w:tcPr>
            <w:tcW w:w="312" w:type="dxa"/>
          </w:tcPr>
          <w:p w14:paraId="70C9F410" w14:textId="77777777" w:rsidR="00A13D88" w:rsidRDefault="00A13D88" w:rsidP="006C31BB">
            <w:pPr>
              <w:rPr>
                <w:rFonts w:ascii="Verdana" w:hAnsi="Verdana"/>
                <w:b/>
              </w:rPr>
            </w:pPr>
            <w:r>
              <w:rPr>
                <w:rFonts w:ascii="Verdana" w:hAnsi="Verdana"/>
                <w:b/>
              </w:rPr>
              <w:t>.</w:t>
            </w:r>
          </w:p>
        </w:tc>
        <w:tc>
          <w:tcPr>
            <w:tcW w:w="8618" w:type="dxa"/>
          </w:tcPr>
          <w:p w14:paraId="316D2CA3" w14:textId="5E86CDFB" w:rsidR="00A13D88" w:rsidRDefault="00A13D88" w:rsidP="006C31BB">
            <w:pPr>
              <w:rPr>
                <w:rFonts w:ascii="Verdana" w:hAnsi="Verdana"/>
              </w:rPr>
            </w:pPr>
            <w:r>
              <w:rPr>
                <w:rFonts w:ascii="Verdana" w:hAnsi="Verdana"/>
              </w:rPr>
              <w:t>t</w:t>
            </w:r>
            <w:r w:rsidRPr="00A13D88">
              <w:rPr>
                <w:rFonts w:ascii="Verdana" w:hAnsi="Verdana"/>
              </w:rPr>
              <w:t>he College c</w:t>
            </w:r>
            <w:r>
              <w:rPr>
                <w:rFonts w:ascii="Verdana" w:hAnsi="Verdana"/>
              </w:rPr>
              <w:t>onducts</w:t>
            </w:r>
            <w:r w:rsidRPr="00A13D88">
              <w:rPr>
                <w:rFonts w:ascii="Verdana" w:hAnsi="Verdana"/>
              </w:rPr>
              <w:t xml:space="preserve"> all student QDP surveys in December, as part of the Winter Passport</w:t>
            </w:r>
            <w:r>
              <w:rPr>
                <w:rFonts w:ascii="Verdana" w:hAnsi="Verdana"/>
              </w:rPr>
              <w:t>, and t</w:t>
            </w:r>
            <w:r w:rsidRPr="00A13D88">
              <w:rPr>
                <w:rFonts w:ascii="Verdana" w:hAnsi="Verdana"/>
              </w:rPr>
              <w:t>herefore</w:t>
            </w:r>
            <w:r w:rsidR="00CE15CE">
              <w:rPr>
                <w:rFonts w:ascii="Verdana" w:hAnsi="Verdana"/>
              </w:rPr>
              <w:t xml:space="preserve"> the</w:t>
            </w:r>
            <w:r w:rsidRPr="00A13D88">
              <w:rPr>
                <w:rFonts w:ascii="Verdana" w:hAnsi="Verdana"/>
              </w:rPr>
              <w:t xml:space="preserve"> surveys from December 2017 (the closest to the last</w:t>
            </w:r>
            <w:r w:rsidR="00CE15CE">
              <w:rPr>
                <w:rFonts w:ascii="Verdana" w:hAnsi="Verdana"/>
              </w:rPr>
              <w:t xml:space="preserve"> Ofsted</w:t>
            </w:r>
            <w:r w:rsidRPr="00A13D88">
              <w:rPr>
                <w:rFonts w:ascii="Verdana" w:hAnsi="Verdana"/>
              </w:rPr>
              <w:t xml:space="preserve"> inspection) and December 2018 </w:t>
            </w:r>
            <w:r>
              <w:rPr>
                <w:rFonts w:ascii="Verdana" w:hAnsi="Verdana"/>
              </w:rPr>
              <w:t>had been</w:t>
            </w:r>
            <w:r w:rsidRPr="00A13D88">
              <w:rPr>
                <w:rFonts w:ascii="Verdana" w:hAnsi="Verdana"/>
              </w:rPr>
              <w:t xml:space="preserve"> used as the main point</w:t>
            </w:r>
            <w:r>
              <w:rPr>
                <w:rFonts w:ascii="Verdana" w:hAnsi="Verdana"/>
              </w:rPr>
              <w:t>s</w:t>
            </w:r>
            <w:r w:rsidRPr="00A13D88">
              <w:rPr>
                <w:rFonts w:ascii="Verdana" w:hAnsi="Verdana"/>
              </w:rPr>
              <w:t xml:space="preserve"> of comparison</w:t>
            </w:r>
            <w:r>
              <w:rPr>
                <w:rFonts w:ascii="Verdana" w:hAnsi="Verdana"/>
              </w:rPr>
              <w:t>;</w:t>
            </w:r>
          </w:p>
          <w:p w14:paraId="0EA50213" w14:textId="362B2D14" w:rsidR="00A13D88" w:rsidRPr="00A13D88" w:rsidRDefault="00A13D88" w:rsidP="006C31BB">
            <w:pPr>
              <w:rPr>
                <w:rFonts w:ascii="Verdana" w:hAnsi="Verdana" w:cstheme="minorHAnsi"/>
                <w:iCs/>
              </w:rPr>
            </w:pPr>
          </w:p>
        </w:tc>
      </w:tr>
      <w:tr w:rsidR="00A13D88" w:rsidRPr="009403ED" w14:paraId="7E824DFE" w14:textId="77777777" w:rsidTr="001E635C">
        <w:tc>
          <w:tcPr>
            <w:tcW w:w="534" w:type="dxa"/>
          </w:tcPr>
          <w:p w14:paraId="11A5657A" w14:textId="77777777" w:rsidR="00A13D88" w:rsidRPr="002F412F" w:rsidRDefault="00A13D88" w:rsidP="006C31BB">
            <w:pPr>
              <w:rPr>
                <w:rFonts w:ascii="Verdana" w:hAnsi="Verdana"/>
                <w:color w:val="FF0000"/>
              </w:rPr>
            </w:pPr>
          </w:p>
        </w:tc>
        <w:tc>
          <w:tcPr>
            <w:tcW w:w="312" w:type="dxa"/>
          </w:tcPr>
          <w:p w14:paraId="1132C214" w14:textId="77777777" w:rsidR="00A13D88" w:rsidRDefault="00A13D88" w:rsidP="006C31BB">
            <w:pPr>
              <w:rPr>
                <w:rFonts w:ascii="Verdana" w:hAnsi="Verdana"/>
                <w:b/>
              </w:rPr>
            </w:pPr>
            <w:r>
              <w:rPr>
                <w:rFonts w:ascii="Verdana" w:hAnsi="Verdana"/>
                <w:b/>
              </w:rPr>
              <w:t>.</w:t>
            </w:r>
          </w:p>
        </w:tc>
        <w:tc>
          <w:tcPr>
            <w:tcW w:w="8618" w:type="dxa"/>
          </w:tcPr>
          <w:p w14:paraId="068BE87E" w14:textId="1CB44355" w:rsidR="00A13D88" w:rsidRDefault="00A13D88" w:rsidP="006C31BB">
            <w:pPr>
              <w:pStyle w:val="NoSpacing"/>
            </w:pPr>
            <w:r>
              <w:t xml:space="preserve">caution must be exercised when directly comparing results, since the response rate was poor in December 2017 (47%), good in December 2018 (81%) and </w:t>
            </w:r>
            <w:r w:rsidR="00E86DE9">
              <w:t>in December 2019</w:t>
            </w:r>
            <w:r>
              <w:t xml:space="preserve"> (</w:t>
            </w:r>
            <w:r w:rsidR="00E86DE9">
              <w:t>83</w:t>
            </w:r>
            <w:r>
              <w:t>%)</w:t>
            </w:r>
            <w:r w:rsidR="00E86DE9">
              <w:t xml:space="preserve"> – a survey (64% response rate) conducted  in February 2017 serves as a baseline, though because of changes to questions it does not operate as a comparator in all instances</w:t>
            </w:r>
            <w:r>
              <w:t xml:space="preserve">; </w:t>
            </w:r>
          </w:p>
          <w:p w14:paraId="634C3B0D" w14:textId="7FB2B9B9" w:rsidR="00A13D88" w:rsidRPr="00A13D88" w:rsidRDefault="00A13D88" w:rsidP="006C31BB">
            <w:pPr>
              <w:pStyle w:val="NoSpacing"/>
              <w:rPr>
                <w:rFonts w:cstheme="minorHAnsi"/>
                <w:iCs/>
              </w:rPr>
            </w:pPr>
            <w:r>
              <w:t xml:space="preserve"> </w:t>
            </w:r>
          </w:p>
        </w:tc>
      </w:tr>
      <w:tr w:rsidR="00A13D88" w14:paraId="672CD408" w14:textId="77777777" w:rsidTr="001E635C">
        <w:tc>
          <w:tcPr>
            <w:tcW w:w="534" w:type="dxa"/>
          </w:tcPr>
          <w:p w14:paraId="67F6F52B" w14:textId="77777777" w:rsidR="00A13D88" w:rsidRPr="002F412F" w:rsidRDefault="00A13D88" w:rsidP="006C31BB">
            <w:pPr>
              <w:rPr>
                <w:rFonts w:ascii="Verdana" w:hAnsi="Verdana"/>
                <w:color w:val="FF0000"/>
              </w:rPr>
            </w:pPr>
          </w:p>
        </w:tc>
        <w:tc>
          <w:tcPr>
            <w:tcW w:w="312" w:type="dxa"/>
          </w:tcPr>
          <w:p w14:paraId="0828620B" w14:textId="77777777" w:rsidR="00A13D88" w:rsidRDefault="00A13D88" w:rsidP="006C31BB">
            <w:pPr>
              <w:rPr>
                <w:rFonts w:ascii="Verdana" w:hAnsi="Verdana"/>
                <w:b/>
              </w:rPr>
            </w:pPr>
            <w:r>
              <w:rPr>
                <w:rFonts w:ascii="Verdana" w:hAnsi="Verdana"/>
                <w:b/>
              </w:rPr>
              <w:t>.</w:t>
            </w:r>
          </w:p>
        </w:tc>
        <w:tc>
          <w:tcPr>
            <w:tcW w:w="8618" w:type="dxa"/>
          </w:tcPr>
          <w:p w14:paraId="02893204" w14:textId="758CF136" w:rsidR="00A13D88" w:rsidRDefault="00E86DE9" w:rsidP="006C31BB">
            <w:pPr>
              <w:pStyle w:val="NoSpacing"/>
            </w:pPr>
            <w:r>
              <w:t>surveys show a significant and sustained improvement across the vast majority of categories questioned over time since February 2017</w:t>
            </w:r>
            <w:r w:rsidR="004C6993">
              <w:t>,</w:t>
            </w:r>
            <w:r>
              <w:t xml:space="preserve"> both</w:t>
            </w:r>
            <w:r w:rsidR="004C6993">
              <w:t xml:space="preserve"> in terms of</w:t>
            </w:r>
            <w:r>
              <w:t xml:space="preserve"> the raw Agree/Disagree scores, but also the ‘rating’ </w:t>
            </w:r>
            <w:r w:rsidR="004C6993">
              <w:t>(</w:t>
            </w:r>
            <w:r>
              <w:t>a weighted percentage with the value of 0-100</w:t>
            </w:r>
            <w:r w:rsidR="004C6993">
              <w:t>)</w:t>
            </w:r>
            <w:r>
              <w:t xml:space="preserve"> </w:t>
            </w:r>
            <w:r w:rsidR="004C6993">
              <w:t>which</w:t>
            </w:r>
            <w:r>
              <w:t xml:space="preserve"> provides a reflection of the target groups' perception, as it is based on accepting that Agree Mostly is less than Agree Completel</w:t>
            </w:r>
            <w:r w:rsidR="004C6993">
              <w:t>y and</w:t>
            </w:r>
            <w:r>
              <w:t xml:space="preserve"> therefore always show</w:t>
            </w:r>
            <w:r w:rsidR="004C6993">
              <w:t>s</w:t>
            </w:r>
            <w:r>
              <w:t xml:space="preserve"> a lower score than the raw %agree/disagree rating</w:t>
            </w:r>
            <w:r w:rsidR="004C6993">
              <w:t xml:space="preserve"> - t</w:t>
            </w:r>
            <w:r>
              <w:t>his trend could be even more pronounced due to the mandatory nature of students completing surveys in December 2018 and December 2019</w:t>
            </w:r>
            <w:r w:rsidR="004C6993">
              <w:t xml:space="preserve">, with </w:t>
            </w:r>
            <w:r>
              <w:t xml:space="preserve">groups who </w:t>
            </w:r>
            <w:r w:rsidR="004C6993">
              <w:t xml:space="preserve">over time </w:t>
            </w:r>
            <w:r>
              <w:t xml:space="preserve">are </w:t>
            </w:r>
            <w:r>
              <w:lastRenderedPageBreak/>
              <w:t>less likely to report being satisfied hav</w:t>
            </w:r>
            <w:r w:rsidR="004C6993">
              <w:t>ing</w:t>
            </w:r>
            <w:r>
              <w:t xml:space="preserve"> </w:t>
            </w:r>
            <w:r w:rsidR="004C6993">
              <w:t>participated</w:t>
            </w:r>
            <w:r>
              <w:t xml:space="preserve"> in much higher numbers during the last two years</w:t>
            </w:r>
            <w:r w:rsidR="004C6993">
              <w:t xml:space="preserve">; </w:t>
            </w:r>
          </w:p>
          <w:p w14:paraId="1045F74C" w14:textId="2E8D6C87" w:rsidR="004C6993" w:rsidRPr="00A13D88" w:rsidRDefault="004C6993" w:rsidP="006C31BB">
            <w:pPr>
              <w:pStyle w:val="NoSpacing"/>
              <w:rPr>
                <w:iCs/>
              </w:rPr>
            </w:pPr>
          </w:p>
        </w:tc>
      </w:tr>
      <w:tr w:rsidR="00A13D88" w:rsidRPr="004C6993" w14:paraId="353834C8" w14:textId="77777777" w:rsidTr="001E635C">
        <w:tc>
          <w:tcPr>
            <w:tcW w:w="534" w:type="dxa"/>
          </w:tcPr>
          <w:p w14:paraId="4F92CB01" w14:textId="77777777" w:rsidR="00A13D88" w:rsidRPr="004C6993" w:rsidRDefault="00A13D88" w:rsidP="00A13D88">
            <w:pPr>
              <w:rPr>
                <w:rFonts w:ascii="Verdana" w:hAnsi="Verdana"/>
                <w:color w:val="FF0000"/>
              </w:rPr>
            </w:pPr>
          </w:p>
        </w:tc>
        <w:tc>
          <w:tcPr>
            <w:tcW w:w="312" w:type="dxa"/>
          </w:tcPr>
          <w:p w14:paraId="4D82BDC7" w14:textId="173812BC" w:rsidR="00A13D88" w:rsidRPr="004C6993" w:rsidRDefault="00A13D88" w:rsidP="00A13D88">
            <w:pPr>
              <w:rPr>
                <w:rFonts w:ascii="Verdana" w:hAnsi="Verdana"/>
                <w:b/>
              </w:rPr>
            </w:pPr>
            <w:r w:rsidRPr="004C6993">
              <w:rPr>
                <w:rFonts w:ascii="Verdana" w:hAnsi="Verdana"/>
                <w:b/>
              </w:rPr>
              <w:t>.</w:t>
            </w:r>
          </w:p>
        </w:tc>
        <w:tc>
          <w:tcPr>
            <w:tcW w:w="8618" w:type="dxa"/>
          </w:tcPr>
          <w:p w14:paraId="2BB76205" w14:textId="41C5AC4F" w:rsidR="00A13D88" w:rsidRPr="004C6993" w:rsidRDefault="00BC1033" w:rsidP="00A13D88">
            <w:pPr>
              <w:rPr>
                <w:rFonts w:ascii="Verdana" w:hAnsi="Verdana"/>
                <w:iCs/>
              </w:rPr>
            </w:pPr>
            <w:r w:rsidRPr="004C6993">
              <w:rPr>
                <w:rFonts w:ascii="Verdana" w:hAnsi="Verdana"/>
                <w:iCs/>
              </w:rPr>
              <w:t xml:space="preserve">summary results </w:t>
            </w:r>
            <w:r w:rsidR="004C6993" w:rsidRPr="004C6993">
              <w:rPr>
                <w:rFonts w:ascii="Verdana" w:hAnsi="Verdana"/>
                <w:iCs/>
              </w:rPr>
              <w:t>are</w:t>
            </w:r>
            <w:r w:rsidRPr="004C6993">
              <w:rPr>
                <w:rFonts w:ascii="Verdana" w:hAnsi="Verdana"/>
                <w:iCs/>
              </w:rPr>
              <w:t xml:space="preserve"> as follows:</w:t>
            </w:r>
          </w:p>
        </w:tc>
      </w:tr>
    </w:tbl>
    <w:p w14:paraId="710CB062" w14:textId="7EA69746" w:rsidR="003B5413" w:rsidRPr="004C6993" w:rsidRDefault="003B5413" w:rsidP="00626F4B">
      <w:pPr>
        <w:rPr>
          <w:rFonts w:ascii="Verdana" w:hAnsi="Verdana"/>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352"/>
      </w:tblGrid>
      <w:tr w:rsidR="00BC1033" w:rsidRPr="004C6993" w14:paraId="04A23B4D" w14:textId="77777777" w:rsidTr="001E635C">
        <w:tc>
          <w:tcPr>
            <w:tcW w:w="561" w:type="dxa"/>
          </w:tcPr>
          <w:p w14:paraId="3C1847D9" w14:textId="77777777" w:rsidR="00BC1033" w:rsidRPr="004C6993" w:rsidRDefault="00BC1033" w:rsidP="00626F4B">
            <w:pPr>
              <w:rPr>
                <w:rFonts w:ascii="Verdana" w:hAnsi="Verdana"/>
              </w:rPr>
            </w:pPr>
          </w:p>
        </w:tc>
        <w:tc>
          <w:tcPr>
            <w:tcW w:w="284" w:type="dxa"/>
          </w:tcPr>
          <w:p w14:paraId="0A8917B1" w14:textId="77777777" w:rsidR="00BC1033" w:rsidRPr="004C6993" w:rsidRDefault="00BC1033" w:rsidP="00626F4B">
            <w:pPr>
              <w:rPr>
                <w:rFonts w:ascii="Verdana" w:hAnsi="Verdana"/>
              </w:rPr>
            </w:pPr>
          </w:p>
        </w:tc>
        <w:tc>
          <w:tcPr>
            <w:tcW w:w="296" w:type="dxa"/>
          </w:tcPr>
          <w:p w14:paraId="485E9C32" w14:textId="1A0E8F1B" w:rsidR="00BC1033" w:rsidRPr="004C6993" w:rsidRDefault="00BC1033" w:rsidP="00626F4B">
            <w:pPr>
              <w:rPr>
                <w:rFonts w:ascii="Verdana" w:hAnsi="Verdana"/>
                <w:b/>
                <w:bCs/>
              </w:rPr>
            </w:pPr>
            <w:r w:rsidRPr="004C6993">
              <w:rPr>
                <w:rFonts w:ascii="Verdana" w:hAnsi="Verdana"/>
                <w:b/>
                <w:bCs/>
              </w:rPr>
              <w:t>.</w:t>
            </w:r>
          </w:p>
        </w:tc>
        <w:tc>
          <w:tcPr>
            <w:tcW w:w="8352" w:type="dxa"/>
          </w:tcPr>
          <w:p w14:paraId="66C9F822" w14:textId="77777777" w:rsidR="006C31BB" w:rsidRPr="004C6993" w:rsidRDefault="004C6993" w:rsidP="00626F4B">
            <w:pPr>
              <w:rPr>
                <w:rFonts w:ascii="Verdana" w:hAnsi="Verdana"/>
              </w:rPr>
            </w:pPr>
            <w:r w:rsidRPr="004C6993">
              <w:rPr>
                <w:rFonts w:ascii="Verdana" w:hAnsi="Verdana"/>
              </w:rPr>
              <w:t>a significant improvement in responses to the question ‘If I don’t come to College someone contacts me’, with 83% of students agreeing with this statement in December 2018, and 92% in December 2019 - up from 68% in December 2017, and representing an overall improved rating of 16 points since December 2017;</w:t>
            </w:r>
          </w:p>
          <w:p w14:paraId="709AFB29" w14:textId="574AAC89" w:rsidR="004C6993" w:rsidRPr="004C6993" w:rsidRDefault="004C6993" w:rsidP="00626F4B">
            <w:pPr>
              <w:rPr>
                <w:rFonts w:ascii="Verdana" w:hAnsi="Verdana"/>
              </w:rPr>
            </w:pPr>
          </w:p>
        </w:tc>
      </w:tr>
      <w:tr w:rsidR="00BC1033" w:rsidRPr="000542FE" w14:paraId="432E8A10" w14:textId="77777777" w:rsidTr="001E635C">
        <w:tc>
          <w:tcPr>
            <w:tcW w:w="561" w:type="dxa"/>
          </w:tcPr>
          <w:p w14:paraId="5EC99F8F" w14:textId="77777777" w:rsidR="00BC1033" w:rsidRPr="00BC1033" w:rsidRDefault="00BC1033" w:rsidP="00626F4B">
            <w:pPr>
              <w:rPr>
                <w:rFonts w:ascii="Verdana" w:hAnsi="Verdana"/>
              </w:rPr>
            </w:pPr>
          </w:p>
        </w:tc>
        <w:tc>
          <w:tcPr>
            <w:tcW w:w="284" w:type="dxa"/>
          </w:tcPr>
          <w:p w14:paraId="77FB1FB1" w14:textId="77777777" w:rsidR="00BC1033" w:rsidRPr="00BC1033" w:rsidRDefault="00BC1033" w:rsidP="00626F4B">
            <w:pPr>
              <w:rPr>
                <w:rFonts w:ascii="Verdana" w:hAnsi="Verdana"/>
              </w:rPr>
            </w:pPr>
          </w:p>
        </w:tc>
        <w:tc>
          <w:tcPr>
            <w:tcW w:w="296" w:type="dxa"/>
          </w:tcPr>
          <w:p w14:paraId="77FBB4F8" w14:textId="3B94BE59" w:rsidR="00BC1033" w:rsidRPr="00BC1033" w:rsidRDefault="00BC1033" w:rsidP="00626F4B">
            <w:pPr>
              <w:rPr>
                <w:rFonts w:ascii="Verdana" w:hAnsi="Verdana"/>
                <w:b/>
                <w:bCs/>
              </w:rPr>
            </w:pPr>
            <w:r w:rsidRPr="00BC1033">
              <w:rPr>
                <w:rFonts w:ascii="Verdana" w:hAnsi="Verdana"/>
                <w:b/>
                <w:bCs/>
              </w:rPr>
              <w:t>.</w:t>
            </w:r>
          </w:p>
        </w:tc>
        <w:tc>
          <w:tcPr>
            <w:tcW w:w="8352" w:type="dxa"/>
          </w:tcPr>
          <w:p w14:paraId="506DBDE5" w14:textId="5CB3DC14" w:rsidR="004C6993" w:rsidRPr="000542FE" w:rsidRDefault="004C6993" w:rsidP="000542FE">
            <w:pPr>
              <w:rPr>
                <w:rFonts w:ascii="Verdana" w:hAnsi="Verdana"/>
              </w:rPr>
            </w:pPr>
            <w:r w:rsidRPr="000542FE">
              <w:rPr>
                <w:rFonts w:ascii="Verdana" w:hAnsi="Verdana"/>
              </w:rPr>
              <w:t>89% of students in December 2019 and 81% of students in December 2018 stated they knew who to ask for help with problems, improving from December 2017 (78%) but, whilst this shows a significant improvement across the college, this score is lower in the Legal &amp; Finance and Society &amp; Culture pathways, although higher for Legal and Finance compared to last year</w:t>
            </w:r>
            <w:r w:rsidR="000542FE" w:rsidRPr="000542FE">
              <w:rPr>
                <w:rFonts w:ascii="Verdana" w:hAnsi="Verdana"/>
              </w:rPr>
              <w:t>;</w:t>
            </w:r>
          </w:p>
          <w:p w14:paraId="0E5A8F0C" w14:textId="5A823666" w:rsidR="000542FE" w:rsidRPr="000542FE" w:rsidRDefault="000542FE" w:rsidP="000542FE">
            <w:pPr>
              <w:rPr>
                <w:rFonts w:ascii="Verdana" w:hAnsi="Verdana"/>
              </w:rPr>
            </w:pPr>
          </w:p>
        </w:tc>
      </w:tr>
      <w:tr w:rsidR="00BC1033" w:rsidRPr="000542FE" w14:paraId="2940DC03" w14:textId="77777777" w:rsidTr="001E635C">
        <w:tc>
          <w:tcPr>
            <w:tcW w:w="561" w:type="dxa"/>
          </w:tcPr>
          <w:p w14:paraId="6B736552" w14:textId="77777777" w:rsidR="00BC1033" w:rsidRPr="00BC1033" w:rsidRDefault="00BC1033" w:rsidP="00626F4B">
            <w:pPr>
              <w:rPr>
                <w:rFonts w:ascii="Verdana" w:hAnsi="Verdana"/>
              </w:rPr>
            </w:pPr>
          </w:p>
        </w:tc>
        <w:tc>
          <w:tcPr>
            <w:tcW w:w="284" w:type="dxa"/>
          </w:tcPr>
          <w:p w14:paraId="4502EF01" w14:textId="77777777" w:rsidR="00BC1033" w:rsidRPr="00BC1033" w:rsidRDefault="00BC1033" w:rsidP="00626F4B">
            <w:pPr>
              <w:rPr>
                <w:rFonts w:ascii="Verdana" w:hAnsi="Verdana"/>
              </w:rPr>
            </w:pPr>
          </w:p>
        </w:tc>
        <w:tc>
          <w:tcPr>
            <w:tcW w:w="296" w:type="dxa"/>
          </w:tcPr>
          <w:p w14:paraId="1C97C8B7" w14:textId="5457375E" w:rsidR="00BC1033" w:rsidRPr="00BC1033" w:rsidRDefault="00BC1033" w:rsidP="00626F4B">
            <w:pPr>
              <w:rPr>
                <w:rFonts w:ascii="Verdana" w:hAnsi="Verdana"/>
                <w:b/>
                <w:bCs/>
              </w:rPr>
            </w:pPr>
            <w:r w:rsidRPr="00BC1033">
              <w:rPr>
                <w:rFonts w:ascii="Verdana" w:hAnsi="Verdana"/>
                <w:b/>
                <w:bCs/>
              </w:rPr>
              <w:t>.</w:t>
            </w:r>
          </w:p>
        </w:tc>
        <w:tc>
          <w:tcPr>
            <w:tcW w:w="8352" w:type="dxa"/>
          </w:tcPr>
          <w:p w14:paraId="178CAF53" w14:textId="77777777" w:rsidR="00BC1033" w:rsidRPr="000542FE" w:rsidRDefault="000542FE" w:rsidP="00626F4B">
            <w:pPr>
              <w:rPr>
                <w:rFonts w:ascii="Verdana" w:hAnsi="Verdana"/>
              </w:rPr>
            </w:pPr>
            <w:r w:rsidRPr="000542FE">
              <w:rPr>
                <w:rFonts w:ascii="Verdana" w:hAnsi="Verdana"/>
              </w:rPr>
              <w:t>84% (December 2019), 69% of students (Dec 2018) and 71% (Dec 2017) agreed with the statement that Passport helps set goals and plan for life after college;</w:t>
            </w:r>
          </w:p>
          <w:p w14:paraId="05FBD5AC" w14:textId="78C0CD30" w:rsidR="000542FE" w:rsidRPr="000542FE" w:rsidRDefault="000542FE" w:rsidP="00626F4B">
            <w:pPr>
              <w:rPr>
                <w:rFonts w:ascii="Verdana" w:hAnsi="Verdana"/>
              </w:rPr>
            </w:pPr>
          </w:p>
        </w:tc>
      </w:tr>
      <w:tr w:rsidR="00BC1033" w:rsidRPr="00BC1033" w14:paraId="6DFEFB82" w14:textId="77777777" w:rsidTr="001E635C">
        <w:tc>
          <w:tcPr>
            <w:tcW w:w="561" w:type="dxa"/>
          </w:tcPr>
          <w:p w14:paraId="38451F3B" w14:textId="77777777" w:rsidR="00BC1033" w:rsidRPr="00BC1033" w:rsidRDefault="00BC1033" w:rsidP="00626F4B">
            <w:pPr>
              <w:rPr>
                <w:rFonts w:ascii="Verdana" w:hAnsi="Verdana"/>
              </w:rPr>
            </w:pPr>
          </w:p>
        </w:tc>
        <w:tc>
          <w:tcPr>
            <w:tcW w:w="284" w:type="dxa"/>
          </w:tcPr>
          <w:p w14:paraId="4ECBE07E" w14:textId="77777777" w:rsidR="00BC1033" w:rsidRPr="00BC1033" w:rsidRDefault="00BC1033" w:rsidP="00626F4B">
            <w:pPr>
              <w:rPr>
                <w:rFonts w:ascii="Verdana" w:hAnsi="Verdana"/>
              </w:rPr>
            </w:pPr>
          </w:p>
        </w:tc>
        <w:tc>
          <w:tcPr>
            <w:tcW w:w="296" w:type="dxa"/>
          </w:tcPr>
          <w:p w14:paraId="7E70153D" w14:textId="30F40597" w:rsidR="00BC1033" w:rsidRPr="00BC1033" w:rsidRDefault="00BC1033" w:rsidP="00626F4B">
            <w:pPr>
              <w:rPr>
                <w:rFonts w:ascii="Verdana" w:hAnsi="Verdana"/>
                <w:b/>
                <w:bCs/>
              </w:rPr>
            </w:pPr>
            <w:r w:rsidRPr="00BC1033">
              <w:rPr>
                <w:rFonts w:ascii="Verdana" w:hAnsi="Verdana"/>
                <w:b/>
                <w:bCs/>
              </w:rPr>
              <w:t>.</w:t>
            </w:r>
          </w:p>
        </w:tc>
        <w:tc>
          <w:tcPr>
            <w:tcW w:w="8352" w:type="dxa"/>
          </w:tcPr>
          <w:p w14:paraId="36BE250D" w14:textId="1A4F6483" w:rsidR="0073177C" w:rsidRPr="000542FE" w:rsidRDefault="000542FE" w:rsidP="00626F4B">
            <w:pPr>
              <w:rPr>
                <w:rFonts w:ascii="Verdana" w:hAnsi="Verdana"/>
              </w:rPr>
            </w:pPr>
            <w:r w:rsidRPr="000542FE">
              <w:rPr>
                <w:rFonts w:ascii="Verdana" w:hAnsi="Verdana"/>
              </w:rPr>
              <w:t>in December 2019, students were asked for the first time whether they are encouraged to work hard outside lessons, a question to investigate whether Talent Lab is having a desired effect on encouraging a hard working culture - 91% of students agreed with this statement, with a rating score of 70;</w:t>
            </w:r>
          </w:p>
          <w:p w14:paraId="2CEBD2B4" w14:textId="44316A0C" w:rsidR="000542FE" w:rsidRPr="000542FE" w:rsidRDefault="000542FE" w:rsidP="00626F4B">
            <w:pPr>
              <w:rPr>
                <w:rFonts w:ascii="Verdana" w:hAnsi="Verdana"/>
              </w:rPr>
            </w:pPr>
          </w:p>
        </w:tc>
      </w:tr>
      <w:tr w:rsidR="00BC1033" w:rsidRPr="00BC1033" w14:paraId="2159BCBB" w14:textId="77777777" w:rsidTr="001E635C">
        <w:tc>
          <w:tcPr>
            <w:tcW w:w="561" w:type="dxa"/>
          </w:tcPr>
          <w:p w14:paraId="6A03AC4D" w14:textId="77777777" w:rsidR="00BC1033" w:rsidRPr="00BC1033" w:rsidRDefault="00BC1033" w:rsidP="00626F4B">
            <w:pPr>
              <w:rPr>
                <w:rFonts w:ascii="Verdana" w:hAnsi="Verdana"/>
              </w:rPr>
            </w:pPr>
          </w:p>
        </w:tc>
        <w:tc>
          <w:tcPr>
            <w:tcW w:w="284" w:type="dxa"/>
          </w:tcPr>
          <w:p w14:paraId="29F5EC67" w14:textId="77777777" w:rsidR="00BC1033" w:rsidRPr="00BC1033" w:rsidRDefault="00BC1033" w:rsidP="00626F4B">
            <w:pPr>
              <w:rPr>
                <w:rFonts w:ascii="Verdana" w:hAnsi="Verdana"/>
              </w:rPr>
            </w:pPr>
          </w:p>
        </w:tc>
        <w:tc>
          <w:tcPr>
            <w:tcW w:w="296" w:type="dxa"/>
          </w:tcPr>
          <w:p w14:paraId="5A7AEA82" w14:textId="1C872FAC" w:rsidR="00BC1033" w:rsidRPr="00BC1033" w:rsidRDefault="00BC1033" w:rsidP="00626F4B">
            <w:pPr>
              <w:rPr>
                <w:rFonts w:ascii="Verdana" w:hAnsi="Verdana"/>
                <w:b/>
                <w:bCs/>
              </w:rPr>
            </w:pPr>
            <w:r w:rsidRPr="00BC1033">
              <w:rPr>
                <w:rFonts w:ascii="Verdana" w:hAnsi="Verdana"/>
                <w:b/>
                <w:bCs/>
              </w:rPr>
              <w:t>.</w:t>
            </w:r>
          </w:p>
        </w:tc>
        <w:tc>
          <w:tcPr>
            <w:tcW w:w="8352" w:type="dxa"/>
          </w:tcPr>
          <w:p w14:paraId="028A01F0" w14:textId="77777777" w:rsidR="000542FE" w:rsidRPr="000542FE" w:rsidRDefault="000542FE" w:rsidP="00626F4B">
            <w:pPr>
              <w:rPr>
                <w:rFonts w:ascii="Verdana" w:hAnsi="Verdana"/>
              </w:rPr>
            </w:pPr>
            <w:r w:rsidRPr="000542FE">
              <w:rPr>
                <w:rFonts w:ascii="Verdana" w:hAnsi="Verdana"/>
              </w:rPr>
              <w:t>94% of students agreed that they feel safe in the College (88% December 2018, 88% December 2017), a sustained improvement from 2016 (74%) - Caribbean and Black British-African students are marginally less likely to report feeling safe, a trend continuing over time;</w:t>
            </w:r>
          </w:p>
          <w:p w14:paraId="388354D2" w14:textId="0BEF9DEB" w:rsidR="0073177C" w:rsidRPr="000542FE" w:rsidRDefault="000542FE" w:rsidP="00626F4B">
            <w:pPr>
              <w:rPr>
                <w:rFonts w:ascii="Verdana" w:hAnsi="Verdana"/>
              </w:rPr>
            </w:pPr>
            <w:r w:rsidRPr="000542FE">
              <w:rPr>
                <w:rFonts w:ascii="Verdana" w:hAnsi="Verdana"/>
              </w:rPr>
              <w:t xml:space="preserve"> </w:t>
            </w:r>
          </w:p>
        </w:tc>
      </w:tr>
      <w:tr w:rsidR="00BC1033" w:rsidRPr="00BC1033" w14:paraId="42CAD446" w14:textId="77777777" w:rsidTr="001E635C">
        <w:tc>
          <w:tcPr>
            <w:tcW w:w="561" w:type="dxa"/>
          </w:tcPr>
          <w:p w14:paraId="0AAA0D81" w14:textId="77777777" w:rsidR="00BC1033" w:rsidRPr="00BC1033" w:rsidRDefault="00BC1033" w:rsidP="00626F4B">
            <w:pPr>
              <w:rPr>
                <w:rFonts w:ascii="Verdana" w:hAnsi="Verdana"/>
              </w:rPr>
            </w:pPr>
          </w:p>
        </w:tc>
        <w:tc>
          <w:tcPr>
            <w:tcW w:w="284" w:type="dxa"/>
          </w:tcPr>
          <w:p w14:paraId="38D4D0DA" w14:textId="77777777" w:rsidR="00BC1033" w:rsidRPr="00BC1033" w:rsidRDefault="00BC1033" w:rsidP="00626F4B">
            <w:pPr>
              <w:rPr>
                <w:rFonts w:ascii="Verdana" w:hAnsi="Verdana"/>
              </w:rPr>
            </w:pPr>
          </w:p>
        </w:tc>
        <w:tc>
          <w:tcPr>
            <w:tcW w:w="296" w:type="dxa"/>
          </w:tcPr>
          <w:p w14:paraId="575CFD81" w14:textId="093CADB5" w:rsidR="00BC1033" w:rsidRPr="00BC1033" w:rsidRDefault="00BC1033" w:rsidP="00626F4B">
            <w:pPr>
              <w:rPr>
                <w:rFonts w:ascii="Verdana" w:hAnsi="Verdana"/>
                <w:b/>
                <w:bCs/>
              </w:rPr>
            </w:pPr>
            <w:r w:rsidRPr="00BC1033">
              <w:rPr>
                <w:rFonts w:ascii="Verdana" w:hAnsi="Verdana"/>
                <w:b/>
                <w:bCs/>
              </w:rPr>
              <w:t>.</w:t>
            </w:r>
          </w:p>
        </w:tc>
        <w:tc>
          <w:tcPr>
            <w:tcW w:w="8352" w:type="dxa"/>
          </w:tcPr>
          <w:p w14:paraId="67AFC51B" w14:textId="77777777" w:rsidR="00BC1033" w:rsidRPr="000542FE" w:rsidRDefault="000542FE" w:rsidP="000542FE">
            <w:pPr>
              <w:rPr>
                <w:rFonts w:ascii="Verdana" w:hAnsi="Verdana"/>
              </w:rPr>
            </w:pPr>
            <w:r w:rsidRPr="000542FE">
              <w:rPr>
                <w:rFonts w:ascii="Verdana" w:hAnsi="Verdana"/>
              </w:rPr>
              <w:t>93% of students responded that they had not experienced bullying at the College in December 2019 (86%: December 2018, 87%: December 2017;</w:t>
            </w:r>
          </w:p>
          <w:p w14:paraId="2576348D" w14:textId="0EB2428D" w:rsidR="000542FE" w:rsidRPr="000542FE" w:rsidRDefault="000542FE" w:rsidP="000542FE">
            <w:pPr>
              <w:rPr>
                <w:rFonts w:ascii="Verdana" w:hAnsi="Verdana"/>
              </w:rPr>
            </w:pPr>
          </w:p>
        </w:tc>
      </w:tr>
      <w:tr w:rsidR="00BC1033" w:rsidRPr="005104D0" w14:paraId="109CFE2F" w14:textId="77777777" w:rsidTr="001E635C">
        <w:tc>
          <w:tcPr>
            <w:tcW w:w="561" w:type="dxa"/>
          </w:tcPr>
          <w:p w14:paraId="7A3E4D1B" w14:textId="77777777" w:rsidR="00BC1033" w:rsidRPr="005104D0" w:rsidRDefault="00BC1033" w:rsidP="00626F4B">
            <w:pPr>
              <w:rPr>
                <w:rFonts w:ascii="Verdana" w:hAnsi="Verdana"/>
              </w:rPr>
            </w:pPr>
          </w:p>
        </w:tc>
        <w:tc>
          <w:tcPr>
            <w:tcW w:w="284" w:type="dxa"/>
          </w:tcPr>
          <w:p w14:paraId="4320F02E" w14:textId="77777777" w:rsidR="00BC1033" w:rsidRPr="005104D0" w:rsidRDefault="00BC1033" w:rsidP="00626F4B">
            <w:pPr>
              <w:rPr>
                <w:rFonts w:ascii="Verdana" w:hAnsi="Verdana"/>
              </w:rPr>
            </w:pPr>
          </w:p>
        </w:tc>
        <w:tc>
          <w:tcPr>
            <w:tcW w:w="296" w:type="dxa"/>
          </w:tcPr>
          <w:p w14:paraId="61AAF9CA" w14:textId="77E0B285" w:rsidR="00BC1033" w:rsidRPr="005104D0" w:rsidRDefault="00BC1033" w:rsidP="00626F4B">
            <w:pPr>
              <w:rPr>
                <w:rFonts w:ascii="Verdana" w:hAnsi="Verdana"/>
                <w:b/>
                <w:bCs/>
              </w:rPr>
            </w:pPr>
            <w:r w:rsidRPr="005104D0">
              <w:rPr>
                <w:rFonts w:ascii="Verdana" w:hAnsi="Verdana"/>
                <w:b/>
                <w:bCs/>
              </w:rPr>
              <w:t>.</w:t>
            </w:r>
          </w:p>
        </w:tc>
        <w:tc>
          <w:tcPr>
            <w:tcW w:w="8352" w:type="dxa"/>
          </w:tcPr>
          <w:p w14:paraId="773D957E" w14:textId="6F61148B" w:rsidR="00750D8E" w:rsidRPr="005104D0" w:rsidRDefault="000542FE" w:rsidP="006827D2">
            <w:pPr>
              <w:rPr>
                <w:rFonts w:ascii="Verdana" w:hAnsi="Verdana"/>
              </w:rPr>
            </w:pPr>
            <w:r w:rsidRPr="005104D0">
              <w:rPr>
                <w:rFonts w:ascii="Verdana" w:hAnsi="Verdana"/>
              </w:rPr>
              <w:t>there has been a sustained improvement in the rating students give to the College on recommending it to a friend</w:t>
            </w:r>
            <w:r w:rsidR="006827D2" w:rsidRPr="005104D0">
              <w:rPr>
                <w:rFonts w:ascii="Verdana" w:hAnsi="Verdana"/>
              </w:rPr>
              <w:t xml:space="preserve">, </w:t>
            </w:r>
            <w:r w:rsidRPr="005104D0">
              <w:rPr>
                <w:rFonts w:ascii="Verdana" w:hAnsi="Verdana"/>
              </w:rPr>
              <w:t>from 52 in February 2017 to 60 in December 2017, 59 in December 2018 and 67 in December 2019</w:t>
            </w:r>
            <w:r w:rsidR="006827D2" w:rsidRPr="005104D0">
              <w:rPr>
                <w:rFonts w:ascii="Verdana" w:hAnsi="Verdana"/>
              </w:rPr>
              <w:t xml:space="preserve"> -</w:t>
            </w:r>
            <w:r w:rsidRPr="005104D0">
              <w:rPr>
                <w:rFonts w:ascii="Verdana" w:hAnsi="Verdana"/>
              </w:rPr>
              <w:t xml:space="preserve"> 90% of students now agree with this statement. </w:t>
            </w:r>
          </w:p>
        </w:tc>
      </w:tr>
    </w:tbl>
    <w:p w14:paraId="58066448" w14:textId="77777777" w:rsidR="00BC1033" w:rsidRPr="005104D0" w:rsidRDefault="00BC1033" w:rsidP="00626F4B">
      <w:pPr>
        <w:rPr>
          <w:rFonts w:ascii="Verdana" w:hAnsi="Verdana"/>
        </w:rPr>
      </w:pPr>
    </w:p>
    <w:tbl>
      <w:tblPr>
        <w:tblW w:w="9464" w:type="dxa"/>
        <w:tblCellMar>
          <w:left w:w="10" w:type="dxa"/>
          <w:right w:w="10" w:type="dxa"/>
        </w:tblCellMar>
        <w:tblLook w:val="0000" w:firstRow="0" w:lastRow="0" w:firstColumn="0" w:lastColumn="0" w:noHBand="0" w:noVBand="0"/>
      </w:tblPr>
      <w:tblGrid>
        <w:gridCol w:w="529"/>
        <w:gridCol w:w="8935"/>
      </w:tblGrid>
      <w:tr w:rsidR="00750D8E" w:rsidRPr="005104D0" w14:paraId="5C2405B7" w14:textId="77777777" w:rsidTr="001E635C">
        <w:tc>
          <w:tcPr>
            <w:tcW w:w="529" w:type="dxa"/>
            <w:shd w:val="clear" w:color="auto" w:fill="auto"/>
            <w:tcMar>
              <w:top w:w="0" w:type="dxa"/>
              <w:left w:w="108" w:type="dxa"/>
              <w:bottom w:w="0" w:type="dxa"/>
              <w:right w:w="108" w:type="dxa"/>
            </w:tcMar>
          </w:tcPr>
          <w:p w14:paraId="463D5C29" w14:textId="77777777" w:rsidR="00750D8E" w:rsidRPr="005104D0" w:rsidRDefault="00750D8E" w:rsidP="003B36B6">
            <w:pPr>
              <w:pStyle w:val="NoSpacing"/>
              <w:rPr>
                <w:b/>
                <w:color w:val="FF0000"/>
              </w:rPr>
            </w:pPr>
          </w:p>
        </w:tc>
        <w:tc>
          <w:tcPr>
            <w:tcW w:w="8935" w:type="dxa"/>
            <w:shd w:val="clear" w:color="auto" w:fill="auto"/>
            <w:tcMar>
              <w:top w:w="0" w:type="dxa"/>
              <w:left w:w="108" w:type="dxa"/>
              <w:bottom w:w="0" w:type="dxa"/>
              <w:right w:w="108" w:type="dxa"/>
            </w:tcMar>
          </w:tcPr>
          <w:p w14:paraId="3B0579F2" w14:textId="13BE056D" w:rsidR="005104D0" w:rsidRPr="005104D0" w:rsidRDefault="005104D0" w:rsidP="003B36B6">
            <w:pPr>
              <w:rPr>
                <w:rFonts w:ascii="Verdana" w:hAnsi="Verdana"/>
              </w:rPr>
            </w:pPr>
            <w:r w:rsidRPr="005104D0">
              <w:rPr>
                <w:rFonts w:ascii="Verdana" w:hAnsi="Verdana"/>
              </w:rPr>
              <w:t>In response to a question on how often students</w:t>
            </w:r>
            <w:r>
              <w:rPr>
                <w:rFonts w:ascii="Verdana" w:hAnsi="Verdana"/>
              </w:rPr>
              <w:t xml:space="preserve"> and </w:t>
            </w:r>
            <w:r w:rsidRPr="005104D0">
              <w:rPr>
                <w:rFonts w:ascii="Verdana" w:hAnsi="Verdana"/>
              </w:rPr>
              <w:t xml:space="preserve">parents receive notification </w:t>
            </w:r>
            <w:r>
              <w:rPr>
                <w:rFonts w:ascii="Verdana" w:hAnsi="Verdana"/>
              </w:rPr>
              <w:t>of missed</w:t>
            </w:r>
            <w:r w:rsidRPr="005104D0">
              <w:rPr>
                <w:rFonts w:ascii="Verdana" w:hAnsi="Verdana"/>
              </w:rPr>
              <w:t xml:space="preserve"> lesson</w:t>
            </w:r>
            <w:r>
              <w:rPr>
                <w:rFonts w:ascii="Verdana" w:hAnsi="Verdana"/>
              </w:rPr>
              <w:t xml:space="preserve">s, it was reported that the </w:t>
            </w:r>
            <w:r w:rsidRPr="005104D0">
              <w:rPr>
                <w:rFonts w:ascii="Verdana" w:hAnsi="Verdana"/>
              </w:rPr>
              <w:t xml:space="preserve">vast majority of parents receive an automatic text if a lesson is missed. </w:t>
            </w:r>
            <w:r>
              <w:rPr>
                <w:rFonts w:ascii="Verdana" w:hAnsi="Verdana"/>
              </w:rPr>
              <w:t xml:space="preserve"> </w:t>
            </w:r>
            <w:r w:rsidRPr="005104D0">
              <w:rPr>
                <w:rFonts w:ascii="Verdana" w:hAnsi="Verdana"/>
              </w:rPr>
              <w:t xml:space="preserve">There </w:t>
            </w:r>
            <w:r>
              <w:rPr>
                <w:rFonts w:ascii="Verdana" w:hAnsi="Verdana"/>
              </w:rPr>
              <w:t>follows</w:t>
            </w:r>
            <w:r w:rsidRPr="005104D0">
              <w:rPr>
                <w:rFonts w:ascii="Verdana" w:hAnsi="Verdana"/>
              </w:rPr>
              <w:t xml:space="preserve"> a ‘calling list’ which a team go through when students miss more than one lesson</w:t>
            </w:r>
            <w:r>
              <w:rPr>
                <w:rFonts w:ascii="Verdana" w:hAnsi="Verdana"/>
              </w:rPr>
              <w:t xml:space="preserve">, though </w:t>
            </w:r>
            <w:r w:rsidRPr="005104D0">
              <w:rPr>
                <w:rFonts w:ascii="Verdana" w:hAnsi="Verdana"/>
              </w:rPr>
              <w:t xml:space="preserve">this </w:t>
            </w:r>
            <w:r>
              <w:rPr>
                <w:rFonts w:ascii="Verdana" w:hAnsi="Verdana"/>
              </w:rPr>
              <w:t>does not include</w:t>
            </w:r>
            <w:r w:rsidRPr="005104D0">
              <w:rPr>
                <w:rFonts w:ascii="Verdana" w:hAnsi="Verdana"/>
              </w:rPr>
              <w:t xml:space="preserve"> all students </w:t>
            </w:r>
            <w:r>
              <w:rPr>
                <w:rFonts w:ascii="Verdana" w:hAnsi="Verdana"/>
              </w:rPr>
              <w:t>since</w:t>
            </w:r>
            <w:r w:rsidRPr="005104D0">
              <w:rPr>
                <w:rFonts w:ascii="Verdana" w:hAnsi="Verdana"/>
              </w:rPr>
              <w:t xml:space="preserve"> each call takes around </w:t>
            </w:r>
            <w:r>
              <w:rPr>
                <w:rFonts w:ascii="Verdana" w:hAnsi="Verdana"/>
              </w:rPr>
              <w:t>five</w:t>
            </w:r>
            <w:r w:rsidRPr="005104D0">
              <w:rPr>
                <w:rFonts w:ascii="Verdana" w:hAnsi="Verdana"/>
              </w:rPr>
              <w:t xml:space="preserve"> minutes to complete</w:t>
            </w:r>
            <w:r>
              <w:rPr>
                <w:rFonts w:ascii="Verdana" w:hAnsi="Verdana"/>
              </w:rPr>
              <w:t>,</w:t>
            </w:r>
            <w:r w:rsidRPr="005104D0">
              <w:rPr>
                <w:rFonts w:ascii="Verdana" w:hAnsi="Verdana"/>
              </w:rPr>
              <w:t xml:space="preserve"> </w:t>
            </w:r>
            <w:r>
              <w:rPr>
                <w:rFonts w:ascii="Verdana" w:hAnsi="Verdana"/>
              </w:rPr>
              <w:t>with</w:t>
            </w:r>
            <w:r w:rsidRPr="005104D0">
              <w:rPr>
                <w:rFonts w:ascii="Verdana" w:hAnsi="Verdana"/>
              </w:rPr>
              <w:t xml:space="preserve"> student records need</w:t>
            </w:r>
            <w:r>
              <w:rPr>
                <w:rFonts w:ascii="Verdana" w:hAnsi="Verdana"/>
              </w:rPr>
              <w:t>ing</w:t>
            </w:r>
            <w:r w:rsidRPr="005104D0">
              <w:rPr>
                <w:rFonts w:ascii="Verdana" w:hAnsi="Verdana"/>
              </w:rPr>
              <w:t xml:space="preserve"> to be checked </w:t>
            </w:r>
            <w:r w:rsidR="00B92707">
              <w:rPr>
                <w:rFonts w:ascii="Verdana" w:hAnsi="Verdana"/>
              </w:rPr>
              <w:t xml:space="preserve">in advance </w:t>
            </w:r>
            <w:r w:rsidRPr="005104D0">
              <w:rPr>
                <w:rFonts w:ascii="Verdana" w:hAnsi="Verdana"/>
              </w:rPr>
              <w:t>and notes written after.</w:t>
            </w:r>
          </w:p>
        </w:tc>
      </w:tr>
    </w:tbl>
    <w:p w14:paraId="1DB8B615" w14:textId="2A4F15F9" w:rsidR="00F85641" w:rsidRDefault="00F85641" w:rsidP="00626F4B">
      <w:pPr>
        <w:rPr>
          <w:color w:val="FF0000"/>
        </w:rPr>
      </w:pPr>
    </w:p>
    <w:p w14:paraId="370AB591" w14:textId="30E459C9" w:rsidR="001E635C" w:rsidRDefault="001E635C" w:rsidP="00626F4B">
      <w:pPr>
        <w:rPr>
          <w:color w:val="FF0000"/>
        </w:rPr>
      </w:pPr>
    </w:p>
    <w:p w14:paraId="43555341" w14:textId="77777777" w:rsidR="001E635C" w:rsidRPr="009D70B8" w:rsidRDefault="001E635C"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827D2" w:rsidRPr="00F85641" w14:paraId="1FE30467" w14:textId="77777777" w:rsidTr="001E635C">
        <w:tc>
          <w:tcPr>
            <w:tcW w:w="529" w:type="dxa"/>
            <w:shd w:val="clear" w:color="auto" w:fill="auto"/>
            <w:tcMar>
              <w:top w:w="0" w:type="dxa"/>
              <w:left w:w="108" w:type="dxa"/>
              <w:bottom w:w="0" w:type="dxa"/>
              <w:right w:w="108" w:type="dxa"/>
            </w:tcMar>
          </w:tcPr>
          <w:p w14:paraId="157630D9" w14:textId="6F386875" w:rsidR="006827D2" w:rsidRPr="00F85641" w:rsidRDefault="006827D2" w:rsidP="006827D2">
            <w:pPr>
              <w:pStyle w:val="NoSpacing"/>
              <w:rPr>
                <w:b/>
              </w:rPr>
            </w:pPr>
            <w:r w:rsidRPr="00F85641">
              <w:rPr>
                <w:b/>
              </w:rPr>
              <w:lastRenderedPageBreak/>
              <w:t>11</w:t>
            </w:r>
          </w:p>
        </w:tc>
        <w:tc>
          <w:tcPr>
            <w:tcW w:w="8935" w:type="dxa"/>
            <w:shd w:val="clear" w:color="auto" w:fill="auto"/>
            <w:tcMar>
              <w:top w:w="0" w:type="dxa"/>
              <w:left w:w="108" w:type="dxa"/>
              <w:bottom w:w="0" w:type="dxa"/>
              <w:right w:w="108" w:type="dxa"/>
            </w:tcMar>
          </w:tcPr>
          <w:p w14:paraId="54F87A4D" w14:textId="77777777" w:rsidR="006827D2" w:rsidRDefault="006827D2" w:rsidP="006827D2">
            <w:pPr>
              <w:rPr>
                <w:rFonts w:ascii="Verdana" w:hAnsi="Verdana"/>
                <w:b/>
              </w:rPr>
            </w:pPr>
            <w:r>
              <w:rPr>
                <w:rFonts w:ascii="Verdana" w:hAnsi="Verdana"/>
                <w:b/>
              </w:rPr>
              <w:t>External Corporate Hospitality</w:t>
            </w:r>
          </w:p>
          <w:p w14:paraId="432E23DA" w14:textId="77777777" w:rsidR="006827D2" w:rsidRDefault="006827D2" w:rsidP="006827D2">
            <w:pPr>
              <w:rPr>
                <w:rFonts w:ascii="Verdana" w:hAnsi="Verdana"/>
                <w:b/>
              </w:rPr>
            </w:pPr>
          </w:p>
          <w:p w14:paraId="5B54245D" w14:textId="77777777" w:rsidR="006827D2" w:rsidRPr="006827D2" w:rsidRDefault="006827D2" w:rsidP="006827D2">
            <w:pPr>
              <w:rPr>
                <w:rFonts w:ascii="Verdana" w:hAnsi="Verdana"/>
                <w:bCs/>
              </w:rPr>
            </w:pPr>
            <w:r w:rsidRPr="006827D2">
              <w:rPr>
                <w:rFonts w:ascii="Verdana" w:hAnsi="Verdana"/>
                <w:bCs/>
              </w:rPr>
              <w:t>There was nothing to report.</w:t>
            </w:r>
          </w:p>
          <w:p w14:paraId="723CC1C8" w14:textId="1A30C076" w:rsidR="006827D2" w:rsidRPr="00F85641" w:rsidRDefault="006827D2" w:rsidP="006827D2">
            <w:pPr>
              <w:rPr>
                <w:rFonts w:ascii="Verdana" w:hAnsi="Verdana"/>
                <w:b/>
              </w:rPr>
            </w:pPr>
          </w:p>
        </w:tc>
      </w:tr>
      <w:tr w:rsidR="006827D2" w:rsidRPr="00F85641" w14:paraId="3DDEBB6F" w14:textId="77777777" w:rsidTr="001E635C">
        <w:tc>
          <w:tcPr>
            <w:tcW w:w="529" w:type="dxa"/>
            <w:shd w:val="clear" w:color="auto" w:fill="auto"/>
            <w:tcMar>
              <w:top w:w="0" w:type="dxa"/>
              <w:left w:w="108" w:type="dxa"/>
              <w:bottom w:w="0" w:type="dxa"/>
              <w:right w:w="108" w:type="dxa"/>
            </w:tcMar>
          </w:tcPr>
          <w:p w14:paraId="788A131F" w14:textId="620C4667" w:rsidR="006827D2" w:rsidRPr="00F85641" w:rsidRDefault="006827D2" w:rsidP="006827D2">
            <w:pPr>
              <w:pStyle w:val="NoSpacing"/>
              <w:rPr>
                <w:b/>
              </w:rPr>
            </w:pPr>
            <w:r w:rsidRPr="00F85641">
              <w:rPr>
                <w:b/>
              </w:rPr>
              <w:t>12</w:t>
            </w:r>
          </w:p>
        </w:tc>
        <w:tc>
          <w:tcPr>
            <w:tcW w:w="8935" w:type="dxa"/>
            <w:shd w:val="clear" w:color="auto" w:fill="auto"/>
            <w:tcMar>
              <w:top w:w="0" w:type="dxa"/>
              <w:left w:w="108" w:type="dxa"/>
              <w:bottom w:w="0" w:type="dxa"/>
              <w:right w:w="108" w:type="dxa"/>
            </w:tcMar>
          </w:tcPr>
          <w:p w14:paraId="640C7250" w14:textId="77777777" w:rsidR="006827D2" w:rsidRPr="00F85641" w:rsidRDefault="006827D2" w:rsidP="006827D2">
            <w:pPr>
              <w:rPr>
                <w:rFonts w:ascii="Verdana" w:hAnsi="Verdana"/>
                <w:b/>
              </w:rPr>
            </w:pPr>
            <w:r w:rsidRPr="00F85641">
              <w:rPr>
                <w:rFonts w:ascii="Verdana" w:hAnsi="Verdana"/>
                <w:b/>
              </w:rPr>
              <w:t>Disclosure and Barring Service (DBS) Checking of Governors</w:t>
            </w:r>
          </w:p>
          <w:p w14:paraId="4C8A5030" w14:textId="77777777" w:rsidR="006827D2" w:rsidRPr="00F85641" w:rsidRDefault="006827D2" w:rsidP="006827D2">
            <w:pPr>
              <w:rPr>
                <w:rFonts w:ascii="Verdana" w:hAnsi="Verdana"/>
              </w:rPr>
            </w:pPr>
          </w:p>
          <w:p w14:paraId="71331534" w14:textId="5978D8BC" w:rsidR="006827D2" w:rsidRPr="00F85641" w:rsidRDefault="006827D2" w:rsidP="006827D2">
            <w:pPr>
              <w:rPr>
                <w:rFonts w:ascii="Verdana" w:hAnsi="Verdana"/>
              </w:rPr>
            </w:pPr>
            <w:r>
              <w:rPr>
                <w:rFonts w:ascii="Verdana" w:hAnsi="Verdana"/>
              </w:rPr>
              <w:t>T</w:t>
            </w:r>
            <w:r w:rsidRPr="00F85641">
              <w:rPr>
                <w:rFonts w:ascii="Verdana" w:hAnsi="Verdana"/>
              </w:rPr>
              <w:t xml:space="preserve">he Clerk to the Corporation </w:t>
            </w:r>
            <w:r w:rsidR="00B92707">
              <w:rPr>
                <w:rFonts w:ascii="Verdana" w:hAnsi="Verdana"/>
              </w:rPr>
              <w:t xml:space="preserve">had </w:t>
            </w:r>
            <w:r>
              <w:rPr>
                <w:rFonts w:ascii="Verdana" w:hAnsi="Verdana"/>
              </w:rPr>
              <w:t>confirmed</w:t>
            </w:r>
            <w:r w:rsidRPr="00F85641">
              <w:rPr>
                <w:rFonts w:ascii="Verdana" w:hAnsi="Verdana"/>
              </w:rPr>
              <w:t xml:space="preserve"> that all governors </w:t>
            </w:r>
            <w:r>
              <w:rPr>
                <w:rFonts w:ascii="Verdana" w:hAnsi="Verdana"/>
              </w:rPr>
              <w:t>possess</w:t>
            </w:r>
            <w:r w:rsidRPr="00F85641">
              <w:rPr>
                <w:rFonts w:ascii="Verdana" w:hAnsi="Verdana"/>
              </w:rPr>
              <w:t xml:space="preserve"> current clearances.</w:t>
            </w:r>
          </w:p>
          <w:p w14:paraId="4AC9E18D" w14:textId="77777777" w:rsidR="006827D2" w:rsidRPr="00F85641" w:rsidRDefault="006827D2" w:rsidP="006827D2">
            <w:pPr>
              <w:rPr>
                <w:rFonts w:ascii="Verdana" w:hAnsi="Verdana"/>
                <w:b/>
              </w:rPr>
            </w:pPr>
          </w:p>
        </w:tc>
      </w:tr>
      <w:tr w:rsidR="006827D2" w:rsidRPr="00F85641" w14:paraId="2F15C8D6" w14:textId="77777777" w:rsidTr="001E635C">
        <w:tc>
          <w:tcPr>
            <w:tcW w:w="529" w:type="dxa"/>
            <w:shd w:val="clear" w:color="auto" w:fill="auto"/>
            <w:tcMar>
              <w:top w:w="0" w:type="dxa"/>
              <w:left w:w="108" w:type="dxa"/>
              <w:bottom w:w="0" w:type="dxa"/>
              <w:right w:w="108" w:type="dxa"/>
            </w:tcMar>
          </w:tcPr>
          <w:p w14:paraId="24C969AB" w14:textId="0BF5C340" w:rsidR="006827D2" w:rsidRPr="00F85641" w:rsidRDefault="006827D2" w:rsidP="006827D2">
            <w:pPr>
              <w:pStyle w:val="NoSpacing"/>
              <w:rPr>
                <w:b/>
              </w:rPr>
            </w:pPr>
            <w:r w:rsidRPr="00F85641">
              <w:rPr>
                <w:b/>
              </w:rPr>
              <w:t>13</w:t>
            </w:r>
          </w:p>
        </w:tc>
        <w:tc>
          <w:tcPr>
            <w:tcW w:w="8935" w:type="dxa"/>
            <w:shd w:val="clear" w:color="auto" w:fill="auto"/>
            <w:tcMar>
              <w:top w:w="0" w:type="dxa"/>
              <w:left w:w="108" w:type="dxa"/>
              <w:bottom w:w="0" w:type="dxa"/>
              <w:right w:w="108" w:type="dxa"/>
            </w:tcMar>
          </w:tcPr>
          <w:p w14:paraId="5DE77E84" w14:textId="5D06535B" w:rsidR="006827D2" w:rsidRPr="00F85641" w:rsidRDefault="006827D2" w:rsidP="006827D2">
            <w:pPr>
              <w:rPr>
                <w:rFonts w:ascii="Verdana" w:hAnsi="Verdana"/>
                <w:b/>
              </w:rPr>
            </w:pPr>
            <w:r w:rsidRPr="00F85641">
              <w:rPr>
                <w:rFonts w:ascii="Verdana" w:hAnsi="Verdana"/>
                <w:b/>
              </w:rPr>
              <w:t xml:space="preserve">Date and Time of </w:t>
            </w:r>
            <w:r>
              <w:rPr>
                <w:rFonts w:ascii="Verdana" w:hAnsi="Verdana"/>
                <w:b/>
              </w:rPr>
              <w:t xml:space="preserve">Remaining </w:t>
            </w:r>
            <w:r w:rsidRPr="00F85641">
              <w:rPr>
                <w:rFonts w:ascii="Verdana" w:hAnsi="Verdana"/>
                <w:b/>
              </w:rPr>
              <w:t>Meetings 2019-20</w:t>
            </w:r>
          </w:p>
          <w:p w14:paraId="14ED6D0A" w14:textId="77777777" w:rsidR="006827D2" w:rsidRPr="00F85641" w:rsidRDefault="006827D2" w:rsidP="006827D2">
            <w:pPr>
              <w:rPr>
                <w:rFonts w:ascii="Verdana" w:hAnsi="Verdana"/>
                <w:b/>
              </w:rPr>
            </w:pPr>
          </w:p>
          <w:p w14:paraId="75FA3AF0" w14:textId="13198C3A" w:rsidR="006827D2" w:rsidRDefault="006827D2" w:rsidP="006827D2">
            <w:pPr>
              <w:rPr>
                <w:rFonts w:ascii="Verdana" w:hAnsi="Verdana"/>
                <w:bCs/>
              </w:rPr>
            </w:pPr>
            <w:r w:rsidRPr="000C7CE4">
              <w:rPr>
                <w:rFonts w:ascii="Verdana" w:hAnsi="Verdana"/>
                <w:bCs/>
              </w:rPr>
              <w:t xml:space="preserve">The following date and time were </w:t>
            </w:r>
            <w:r>
              <w:rPr>
                <w:rFonts w:ascii="Verdana" w:hAnsi="Verdana"/>
                <w:bCs/>
              </w:rPr>
              <w:t>not</w:t>
            </w:r>
            <w:r w:rsidRPr="000C7CE4">
              <w:rPr>
                <w:rFonts w:ascii="Verdana" w:hAnsi="Verdana"/>
                <w:bCs/>
              </w:rPr>
              <w:t>ed:</w:t>
            </w:r>
          </w:p>
          <w:p w14:paraId="65A7E0B5" w14:textId="74647D8E" w:rsidR="006827D2" w:rsidRDefault="006827D2" w:rsidP="006827D2">
            <w:pPr>
              <w:rPr>
                <w:rFonts w:ascii="Verdana" w:hAnsi="Verdana"/>
                <w:bCs/>
              </w:rPr>
            </w:pPr>
          </w:p>
          <w:p w14:paraId="41E09F8F" w14:textId="77777777" w:rsidR="006827D2" w:rsidRPr="003F5F59" w:rsidRDefault="006827D2" w:rsidP="006827D2">
            <w:pPr>
              <w:pStyle w:val="NoSpacing"/>
              <w:rPr>
                <w:b/>
                <w:bCs/>
                <w:i/>
                <w:iCs/>
              </w:rPr>
            </w:pPr>
            <w:r w:rsidRPr="003F5F59">
              <w:rPr>
                <w:b/>
                <w:bCs/>
                <w:i/>
                <w:iCs/>
              </w:rPr>
              <w:t>Monday 1 June 2020</w:t>
            </w:r>
            <w:r>
              <w:rPr>
                <w:b/>
                <w:bCs/>
                <w:i/>
                <w:iCs/>
              </w:rPr>
              <w:t xml:space="preserve"> (5</w:t>
            </w:r>
            <w:r w:rsidRPr="00AB5E2A">
              <w:rPr>
                <w:b/>
                <w:bCs/>
                <w:i/>
                <w:iCs/>
              </w:rPr>
              <w:t>.</w:t>
            </w:r>
            <w:r>
              <w:rPr>
                <w:b/>
                <w:bCs/>
                <w:i/>
                <w:iCs/>
              </w:rPr>
              <w:t>30pm)</w:t>
            </w:r>
          </w:p>
          <w:p w14:paraId="1891DE9C" w14:textId="13566F58" w:rsidR="006827D2" w:rsidRPr="00F85641" w:rsidRDefault="006827D2" w:rsidP="006827D2">
            <w:pPr>
              <w:rPr>
                <w:rFonts w:ascii="Verdana" w:hAnsi="Verdana"/>
                <w:b/>
              </w:rPr>
            </w:pPr>
          </w:p>
        </w:tc>
      </w:tr>
      <w:tr w:rsidR="006827D2" w:rsidRPr="00F85641" w14:paraId="7192D5BC" w14:textId="77777777" w:rsidTr="001E635C">
        <w:tc>
          <w:tcPr>
            <w:tcW w:w="529" w:type="dxa"/>
            <w:shd w:val="clear" w:color="auto" w:fill="auto"/>
            <w:tcMar>
              <w:top w:w="0" w:type="dxa"/>
              <w:left w:w="108" w:type="dxa"/>
              <w:bottom w:w="0" w:type="dxa"/>
              <w:right w:w="108" w:type="dxa"/>
            </w:tcMar>
          </w:tcPr>
          <w:p w14:paraId="71C67C20" w14:textId="6D3E5722" w:rsidR="006827D2" w:rsidRPr="00F85641" w:rsidRDefault="006827D2" w:rsidP="006827D2">
            <w:pPr>
              <w:pStyle w:val="NoSpacing"/>
              <w:rPr>
                <w:b/>
              </w:rPr>
            </w:pPr>
            <w:r>
              <w:rPr>
                <w:b/>
              </w:rPr>
              <w:t>14</w:t>
            </w:r>
          </w:p>
        </w:tc>
        <w:tc>
          <w:tcPr>
            <w:tcW w:w="8935" w:type="dxa"/>
            <w:shd w:val="clear" w:color="auto" w:fill="auto"/>
            <w:tcMar>
              <w:top w:w="0" w:type="dxa"/>
              <w:left w:w="108" w:type="dxa"/>
              <w:bottom w:w="0" w:type="dxa"/>
              <w:right w:w="108" w:type="dxa"/>
            </w:tcMar>
          </w:tcPr>
          <w:p w14:paraId="6694D547" w14:textId="77777777" w:rsidR="006827D2" w:rsidRPr="00F85641" w:rsidRDefault="006827D2" w:rsidP="006827D2">
            <w:pPr>
              <w:rPr>
                <w:rFonts w:ascii="Verdana" w:hAnsi="Verdana"/>
                <w:b/>
              </w:rPr>
            </w:pPr>
            <w:r w:rsidRPr="00F85641">
              <w:rPr>
                <w:rFonts w:ascii="Verdana" w:hAnsi="Verdana"/>
                <w:b/>
              </w:rPr>
              <w:t>Any Other Competent Business</w:t>
            </w:r>
          </w:p>
          <w:p w14:paraId="76C6F628" w14:textId="77777777" w:rsidR="006827D2" w:rsidRPr="00F85641" w:rsidRDefault="006827D2" w:rsidP="006827D2">
            <w:pPr>
              <w:rPr>
                <w:rFonts w:ascii="Verdana" w:hAnsi="Verdana"/>
                <w:b/>
              </w:rPr>
            </w:pPr>
          </w:p>
          <w:p w14:paraId="49DE55EA" w14:textId="77777777" w:rsidR="006827D2" w:rsidRPr="00F85641" w:rsidRDefault="006827D2" w:rsidP="006827D2">
            <w:pPr>
              <w:rPr>
                <w:rFonts w:ascii="Verdana" w:hAnsi="Verdana"/>
                <w:b/>
              </w:rPr>
            </w:pPr>
            <w:r w:rsidRPr="00F85641">
              <w:rPr>
                <w:rFonts w:ascii="Verdana" w:hAnsi="Verdana"/>
              </w:rPr>
              <w:t>None.</w:t>
            </w:r>
          </w:p>
        </w:tc>
      </w:tr>
    </w:tbl>
    <w:p w14:paraId="2719841C" w14:textId="6D95255B" w:rsidR="008B1661" w:rsidRDefault="008B1661" w:rsidP="00626F4B">
      <w:pPr>
        <w:rPr>
          <w:color w:val="FF0000"/>
        </w:rPr>
      </w:pPr>
    </w:p>
    <w:p w14:paraId="3B4F34BE" w14:textId="77777777" w:rsidR="00F85641" w:rsidRDefault="00F85641" w:rsidP="00626F4B">
      <w:pPr>
        <w:rPr>
          <w:color w:val="FF0000"/>
        </w:rPr>
      </w:pPr>
    </w:p>
    <w:p w14:paraId="717DBA05" w14:textId="13C3CC9F" w:rsidR="00880621" w:rsidRDefault="00880621" w:rsidP="00626F4B">
      <w:pPr>
        <w:rPr>
          <w:rFonts w:ascii="Verdana" w:hAnsi="Verdana"/>
        </w:rPr>
      </w:pPr>
    </w:p>
    <w:p w14:paraId="598DAC61" w14:textId="433B6728" w:rsidR="0052166D" w:rsidRDefault="005104D0" w:rsidP="00626F4B">
      <w:pPr>
        <w:rPr>
          <w:rFonts w:ascii="Verdana" w:hAnsi="Verdana"/>
          <w:b/>
          <w:bCs/>
        </w:rPr>
      </w:pPr>
      <w:r w:rsidRPr="005104D0">
        <w:rPr>
          <w:rFonts w:ascii="Verdana" w:hAnsi="Verdana"/>
          <w:b/>
          <w:bCs/>
        </w:rPr>
        <w:t>List of Actions Arising from the Minute</w:t>
      </w:r>
      <w:r>
        <w:rPr>
          <w:rFonts w:ascii="Verdana" w:hAnsi="Verdana"/>
          <w:b/>
          <w:bCs/>
        </w:rPr>
        <w:t>s</w:t>
      </w:r>
    </w:p>
    <w:p w14:paraId="58F151C1" w14:textId="3CDA4C5A" w:rsidR="005104D0" w:rsidRDefault="005104D0" w:rsidP="00626F4B">
      <w:pPr>
        <w:rPr>
          <w:rFonts w:ascii="Verdana" w:hAnsi="Verdan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19"/>
        <w:gridCol w:w="4768"/>
      </w:tblGrid>
      <w:tr w:rsidR="005104D0" w14:paraId="56FC81C0" w14:textId="77777777" w:rsidTr="00B92707">
        <w:tc>
          <w:tcPr>
            <w:tcW w:w="1129" w:type="dxa"/>
          </w:tcPr>
          <w:p w14:paraId="23EDED89" w14:textId="77777777" w:rsidR="005104D0" w:rsidRDefault="005104D0" w:rsidP="00626F4B">
            <w:pPr>
              <w:rPr>
                <w:rFonts w:ascii="Verdana" w:hAnsi="Verdana"/>
                <w:i/>
                <w:iCs/>
              </w:rPr>
            </w:pPr>
            <w:r w:rsidRPr="005104D0">
              <w:rPr>
                <w:rFonts w:ascii="Verdana" w:hAnsi="Verdana"/>
                <w:i/>
                <w:iCs/>
              </w:rPr>
              <w:t>Minute No.</w:t>
            </w:r>
          </w:p>
          <w:p w14:paraId="74B77CA5" w14:textId="4CD86029" w:rsidR="00B92707" w:rsidRPr="005104D0" w:rsidRDefault="00B92707" w:rsidP="00626F4B">
            <w:pPr>
              <w:rPr>
                <w:rFonts w:ascii="Verdana" w:hAnsi="Verdana"/>
                <w:i/>
                <w:iCs/>
              </w:rPr>
            </w:pPr>
          </w:p>
        </w:tc>
        <w:tc>
          <w:tcPr>
            <w:tcW w:w="3119" w:type="dxa"/>
          </w:tcPr>
          <w:p w14:paraId="1E550BD1" w14:textId="77777777" w:rsidR="005104D0" w:rsidRPr="005104D0" w:rsidRDefault="005104D0" w:rsidP="00626F4B">
            <w:pPr>
              <w:rPr>
                <w:rFonts w:ascii="Verdana" w:hAnsi="Verdana"/>
                <w:i/>
                <w:iCs/>
              </w:rPr>
            </w:pPr>
            <w:r w:rsidRPr="005104D0">
              <w:rPr>
                <w:rFonts w:ascii="Verdana" w:hAnsi="Verdana"/>
                <w:i/>
                <w:iCs/>
              </w:rPr>
              <w:t>Person Responsible</w:t>
            </w:r>
          </w:p>
          <w:p w14:paraId="3E35ACD2" w14:textId="55D9C485" w:rsidR="005104D0" w:rsidRPr="005104D0" w:rsidRDefault="005104D0" w:rsidP="00626F4B">
            <w:pPr>
              <w:rPr>
                <w:rFonts w:ascii="Verdana" w:hAnsi="Verdana"/>
                <w:i/>
                <w:iCs/>
              </w:rPr>
            </w:pPr>
          </w:p>
        </w:tc>
        <w:tc>
          <w:tcPr>
            <w:tcW w:w="4768" w:type="dxa"/>
          </w:tcPr>
          <w:p w14:paraId="2C33B6E7" w14:textId="772EE629" w:rsidR="005104D0" w:rsidRPr="005104D0" w:rsidRDefault="005104D0" w:rsidP="00626F4B">
            <w:pPr>
              <w:rPr>
                <w:rFonts w:ascii="Verdana" w:hAnsi="Verdana"/>
                <w:i/>
                <w:iCs/>
              </w:rPr>
            </w:pPr>
            <w:r w:rsidRPr="005104D0">
              <w:rPr>
                <w:rFonts w:ascii="Verdana" w:hAnsi="Verdana"/>
                <w:i/>
                <w:iCs/>
              </w:rPr>
              <w:t>Action Required</w:t>
            </w:r>
          </w:p>
        </w:tc>
      </w:tr>
      <w:tr w:rsidR="005104D0" w14:paraId="244B0090" w14:textId="77777777" w:rsidTr="00B92707">
        <w:tc>
          <w:tcPr>
            <w:tcW w:w="1129" w:type="dxa"/>
          </w:tcPr>
          <w:p w14:paraId="300A87AE" w14:textId="18854C9A" w:rsidR="005104D0" w:rsidRDefault="00B92707" w:rsidP="00626F4B">
            <w:pPr>
              <w:rPr>
                <w:rFonts w:ascii="Verdana" w:hAnsi="Verdana"/>
                <w:b/>
                <w:bCs/>
              </w:rPr>
            </w:pPr>
            <w:r>
              <w:rPr>
                <w:rFonts w:ascii="Verdana" w:hAnsi="Verdana"/>
                <w:b/>
                <w:bCs/>
              </w:rPr>
              <w:t>8</w:t>
            </w:r>
          </w:p>
        </w:tc>
        <w:tc>
          <w:tcPr>
            <w:tcW w:w="3119" w:type="dxa"/>
          </w:tcPr>
          <w:p w14:paraId="4079A744" w14:textId="77777777" w:rsidR="005104D0" w:rsidRDefault="00B92707" w:rsidP="00626F4B">
            <w:pPr>
              <w:rPr>
                <w:rFonts w:ascii="Verdana" w:hAnsi="Verdana"/>
              </w:rPr>
            </w:pPr>
            <w:r>
              <w:rPr>
                <w:rFonts w:ascii="Verdana" w:hAnsi="Verdana"/>
              </w:rPr>
              <w:t xml:space="preserve">Vice-Principal: </w:t>
            </w:r>
            <w:r w:rsidRPr="00FE7EDC">
              <w:rPr>
                <w:rFonts w:ascii="Verdana" w:hAnsi="Verdana"/>
              </w:rPr>
              <w:t>Student S</w:t>
            </w:r>
            <w:r>
              <w:rPr>
                <w:rFonts w:ascii="Verdana" w:hAnsi="Verdana"/>
              </w:rPr>
              <w:t>ervices and Recruitment</w:t>
            </w:r>
          </w:p>
          <w:p w14:paraId="65A0749E" w14:textId="77777777" w:rsidR="00B92707" w:rsidRDefault="00B92707" w:rsidP="00626F4B">
            <w:pPr>
              <w:rPr>
                <w:rFonts w:ascii="Verdana" w:hAnsi="Verdana"/>
                <w:b/>
                <w:bCs/>
              </w:rPr>
            </w:pPr>
          </w:p>
          <w:p w14:paraId="30EFCA3B" w14:textId="77777777" w:rsidR="00B92707" w:rsidRDefault="00B92707" w:rsidP="00626F4B">
            <w:pPr>
              <w:rPr>
                <w:rFonts w:ascii="Verdana" w:hAnsi="Verdana"/>
                <w:b/>
                <w:bCs/>
              </w:rPr>
            </w:pPr>
          </w:p>
          <w:p w14:paraId="1F03EB64" w14:textId="412E4822" w:rsidR="00B92707" w:rsidRPr="00B92707" w:rsidRDefault="00B92707" w:rsidP="00626F4B">
            <w:pPr>
              <w:rPr>
                <w:rFonts w:ascii="Verdana" w:hAnsi="Verdana"/>
              </w:rPr>
            </w:pPr>
            <w:r w:rsidRPr="00B92707">
              <w:rPr>
                <w:rFonts w:ascii="Verdana" w:hAnsi="Verdana"/>
              </w:rPr>
              <w:t>Clerk to the Corporation</w:t>
            </w:r>
          </w:p>
        </w:tc>
        <w:tc>
          <w:tcPr>
            <w:tcW w:w="4768" w:type="dxa"/>
          </w:tcPr>
          <w:p w14:paraId="3B1E3707" w14:textId="77777777" w:rsidR="005104D0" w:rsidRDefault="00B92707" w:rsidP="00626F4B">
            <w:pPr>
              <w:rPr>
                <w:rFonts w:ascii="Verdana" w:hAnsi="Verdana"/>
              </w:rPr>
            </w:pPr>
            <w:r>
              <w:rPr>
                <w:rFonts w:ascii="Verdana" w:hAnsi="Verdana"/>
              </w:rPr>
              <w:t>Bring a report to the next meeting setting out more detail on student destinations.</w:t>
            </w:r>
          </w:p>
          <w:p w14:paraId="4246F6C6" w14:textId="77777777" w:rsidR="00B92707" w:rsidRDefault="00B92707" w:rsidP="00626F4B">
            <w:pPr>
              <w:rPr>
                <w:rFonts w:ascii="Verdana" w:hAnsi="Verdana"/>
                <w:b/>
                <w:bCs/>
              </w:rPr>
            </w:pPr>
          </w:p>
          <w:p w14:paraId="746A123F" w14:textId="6879C209" w:rsidR="00B92707" w:rsidRPr="00B92707" w:rsidRDefault="00B92707" w:rsidP="00626F4B">
            <w:pPr>
              <w:rPr>
                <w:rFonts w:ascii="Verdana" w:hAnsi="Verdana"/>
              </w:rPr>
            </w:pPr>
            <w:r w:rsidRPr="00B92707">
              <w:rPr>
                <w:rFonts w:ascii="Verdana" w:hAnsi="Verdana"/>
              </w:rPr>
              <w:t xml:space="preserve">Provide for consideration of the report on the </w:t>
            </w:r>
            <w:r w:rsidR="00C80655">
              <w:rPr>
                <w:rFonts w:ascii="Verdana" w:hAnsi="Verdana"/>
              </w:rPr>
              <w:t>next</w:t>
            </w:r>
            <w:bookmarkStart w:id="0" w:name="_GoBack"/>
            <w:bookmarkEnd w:id="0"/>
            <w:r w:rsidRPr="00B92707">
              <w:rPr>
                <w:rFonts w:ascii="Verdana" w:hAnsi="Verdana"/>
              </w:rPr>
              <w:t xml:space="preserve"> agenda.</w:t>
            </w:r>
          </w:p>
        </w:tc>
      </w:tr>
    </w:tbl>
    <w:p w14:paraId="1DB00079" w14:textId="77777777" w:rsidR="005104D0" w:rsidRPr="005104D0" w:rsidRDefault="005104D0" w:rsidP="00626F4B">
      <w:pPr>
        <w:rPr>
          <w:rFonts w:ascii="Verdana" w:hAnsi="Verdana"/>
          <w:b/>
          <w:bCs/>
        </w:rPr>
      </w:pPr>
    </w:p>
    <w:p w14:paraId="409F376E" w14:textId="371E4C88" w:rsidR="0052166D" w:rsidRPr="005104D0" w:rsidRDefault="0052166D" w:rsidP="00626F4B">
      <w:pPr>
        <w:rPr>
          <w:rFonts w:ascii="Verdana" w:hAnsi="Verdana"/>
          <w:b/>
          <w:bCs/>
        </w:rPr>
      </w:pPr>
    </w:p>
    <w:p w14:paraId="01546920" w14:textId="1E51B377" w:rsidR="0052166D" w:rsidRPr="005104D0" w:rsidRDefault="0052166D" w:rsidP="00626F4B">
      <w:pPr>
        <w:rPr>
          <w:rFonts w:ascii="Verdana" w:hAnsi="Verdana"/>
          <w:b/>
          <w:bCs/>
        </w:rPr>
      </w:pPr>
    </w:p>
    <w:p w14:paraId="553D35C9" w14:textId="284542DA" w:rsidR="0052166D" w:rsidRPr="005104D0" w:rsidRDefault="0052166D" w:rsidP="00626F4B">
      <w:pPr>
        <w:rPr>
          <w:rFonts w:ascii="Verdana" w:hAnsi="Verdana"/>
          <w:b/>
          <w:bCs/>
        </w:rPr>
      </w:pPr>
    </w:p>
    <w:p w14:paraId="04226F14" w14:textId="380C097D" w:rsidR="0052166D" w:rsidRPr="005104D0" w:rsidRDefault="0052166D" w:rsidP="00626F4B">
      <w:pPr>
        <w:rPr>
          <w:rFonts w:ascii="Verdana" w:hAnsi="Verdana"/>
          <w:b/>
          <w:bCs/>
        </w:rPr>
      </w:pPr>
    </w:p>
    <w:p w14:paraId="40D4D53B" w14:textId="40050396" w:rsidR="0052166D" w:rsidRPr="005104D0" w:rsidRDefault="0052166D" w:rsidP="00626F4B">
      <w:pPr>
        <w:rPr>
          <w:rFonts w:ascii="Verdana" w:hAnsi="Verdana"/>
          <w:b/>
          <w:bCs/>
        </w:rPr>
      </w:pPr>
    </w:p>
    <w:p w14:paraId="1B677274" w14:textId="6A9E8143" w:rsidR="0052166D" w:rsidRPr="005104D0" w:rsidRDefault="0052166D" w:rsidP="00626F4B">
      <w:pPr>
        <w:rPr>
          <w:rFonts w:ascii="Verdana" w:hAnsi="Verdana"/>
          <w:b/>
          <w:bCs/>
        </w:rPr>
      </w:pPr>
    </w:p>
    <w:p w14:paraId="5DD1DF39" w14:textId="576D7F86" w:rsidR="0052166D" w:rsidRPr="005104D0" w:rsidRDefault="0052166D" w:rsidP="00626F4B">
      <w:pPr>
        <w:rPr>
          <w:rFonts w:ascii="Verdana" w:hAnsi="Verdana"/>
          <w:b/>
          <w:bCs/>
        </w:rPr>
      </w:pPr>
    </w:p>
    <w:p w14:paraId="1EC20E26" w14:textId="15A592D0" w:rsidR="0052166D" w:rsidRPr="005104D0" w:rsidRDefault="0052166D" w:rsidP="00626F4B">
      <w:pPr>
        <w:rPr>
          <w:rFonts w:ascii="Verdana" w:hAnsi="Verdana"/>
          <w:b/>
          <w:bCs/>
        </w:rPr>
      </w:pPr>
    </w:p>
    <w:p w14:paraId="0BFDE239" w14:textId="25DC6213" w:rsidR="0052166D" w:rsidRDefault="0052166D" w:rsidP="00626F4B">
      <w:pPr>
        <w:rPr>
          <w:rFonts w:ascii="Verdana" w:hAnsi="Verdana"/>
        </w:rPr>
      </w:pPr>
    </w:p>
    <w:p w14:paraId="12AB43AE" w14:textId="4F501658" w:rsidR="0052166D" w:rsidRDefault="0052166D" w:rsidP="00626F4B">
      <w:pPr>
        <w:rPr>
          <w:rFonts w:ascii="Verdana" w:hAnsi="Verdana"/>
        </w:rPr>
      </w:pPr>
    </w:p>
    <w:p w14:paraId="4E760748" w14:textId="210242C7" w:rsidR="0052166D" w:rsidRDefault="0052166D" w:rsidP="00626F4B">
      <w:pPr>
        <w:rPr>
          <w:rFonts w:ascii="Verdana" w:hAnsi="Verdana"/>
        </w:rPr>
      </w:pPr>
    </w:p>
    <w:p w14:paraId="6EC89C2A" w14:textId="211BE93A" w:rsidR="0052166D" w:rsidRDefault="0052166D" w:rsidP="00626F4B">
      <w:pPr>
        <w:rPr>
          <w:rFonts w:ascii="Verdana" w:hAnsi="Verdana"/>
        </w:rPr>
      </w:pPr>
    </w:p>
    <w:p w14:paraId="46CF1430" w14:textId="11463F2C" w:rsidR="0052166D" w:rsidRDefault="0052166D" w:rsidP="00626F4B">
      <w:pPr>
        <w:rPr>
          <w:rFonts w:ascii="Verdana" w:hAnsi="Verdana"/>
        </w:rPr>
      </w:pPr>
    </w:p>
    <w:p w14:paraId="4EF22445" w14:textId="3A664821" w:rsidR="0052166D" w:rsidRDefault="0052166D" w:rsidP="00626F4B">
      <w:pPr>
        <w:rPr>
          <w:rFonts w:ascii="Verdana" w:hAnsi="Verdana"/>
        </w:rPr>
      </w:pPr>
    </w:p>
    <w:p w14:paraId="00E9E465" w14:textId="27EBB855" w:rsidR="0052166D" w:rsidRDefault="0052166D" w:rsidP="00626F4B">
      <w:pPr>
        <w:rPr>
          <w:rFonts w:ascii="Verdana" w:hAnsi="Verdana"/>
        </w:rPr>
      </w:pPr>
    </w:p>
    <w:p w14:paraId="190B4CDB" w14:textId="61902078" w:rsidR="0052166D" w:rsidRDefault="0052166D" w:rsidP="00626F4B">
      <w:pPr>
        <w:rPr>
          <w:rFonts w:ascii="Verdana" w:hAnsi="Verdana"/>
        </w:rPr>
      </w:pPr>
    </w:p>
    <w:p w14:paraId="713A98E9" w14:textId="700907CC" w:rsidR="0052166D" w:rsidRDefault="0052166D" w:rsidP="00626F4B">
      <w:pPr>
        <w:rPr>
          <w:rFonts w:ascii="Verdana" w:hAnsi="Verdana"/>
        </w:rPr>
      </w:pPr>
    </w:p>
    <w:p w14:paraId="257CFF58" w14:textId="475C8B8A" w:rsidR="0052166D" w:rsidRDefault="0052166D" w:rsidP="00626F4B">
      <w:pPr>
        <w:rPr>
          <w:rFonts w:ascii="Verdana" w:hAnsi="Verdana"/>
        </w:rPr>
      </w:pPr>
    </w:p>
    <w:p w14:paraId="0C40399E" w14:textId="77777777" w:rsidR="0052166D" w:rsidRPr="00413682" w:rsidRDefault="0052166D" w:rsidP="00626F4B">
      <w:pPr>
        <w:rPr>
          <w:rFonts w:ascii="Verdana" w:hAnsi="Verdana"/>
        </w:rPr>
      </w:pPr>
    </w:p>
    <w:p w14:paraId="26DF08E3" w14:textId="77777777" w:rsidR="00785164" w:rsidRPr="005D6214" w:rsidRDefault="00785164" w:rsidP="00626F4B">
      <w:pPr>
        <w:rPr>
          <w:color w:val="FF0000"/>
        </w:rPr>
      </w:pPr>
    </w:p>
    <w:sectPr w:rsidR="00785164" w:rsidRPr="005D62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8F6A" w14:textId="77777777" w:rsidR="00B86CE5" w:rsidRDefault="00B86CE5" w:rsidP="007F3C4E">
      <w:r>
        <w:separator/>
      </w:r>
    </w:p>
  </w:endnote>
  <w:endnote w:type="continuationSeparator" w:id="0">
    <w:p w14:paraId="240A239D" w14:textId="77777777" w:rsidR="00B86CE5" w:rsidRDefault="00B86CE5" w:rsidP="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84BD" w14:textId="77777777" w:rsidR="00B86CE5" w:rsidRDefault="00B86CE5" w:rsidP="007F3C4E">
      <w:r>
        <w:separator/>
      </w:r>
    </w:p>
  </w:footnote>
  <w:footnote w:type="continuationSeparator" w:id="0">
    <w:p w14:paraId="077E8ECB" w14:textId="77777777" w:rsidR="00B86CE5" w:rsidRDefault="00B86CE5" w:rsidP="007F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5557"/>
    <w:multiLevelType w:val="hybridMultilevel"/>
    <w:tmpl w:val="4262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F7B6A"/>
    <w:multiLevelType w:val="hybridMultilevel"/>
    <w:tmpl w:val="73FCF0CA"/>
    <w:lvl w:ilvl="0" w:tplc="08090001">
      <w:start w:val="1"/>
      <w:numFmt w:val="bullet"/>
      <w:lvlText w:val=""/>
      <w:lvlJc w:val="left"/>
      <w:pPr>
        <w:ind w:left="720" w:hanging="360"/>
      </w:pPr>
      <w:rPr>
        <w:rFonts w:ascii="Symbol" w:hAnsi="Symbol" w:hint="default"/>
      </w:rPr>
    </w:lvl>
    <w:lvl w:ilvl="1" w:tplc="37B0ADD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15C60"/>
    <w:multiLevelType w:val="hybridMultilevel"/>
    <w:tmpl w:val="847A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6E281A"/>
    <w:multiLevelType w:val="hybridMultilevel"/>
    <w:tmpl w:val="6CD82B9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FF"/>
    <w:rsid w:val="000008B9"/>
    <w:rsid w:val="00001B8B"/>
    <w:rsid w:val="00001B9A"/>
    <w:rsid w:val="00006F58"/>
    <w:rsid w:val="0001074C"/>
    <w:rsid w:val="00011177"/>
    <w:rsid w:val="00016C1E"/>
    <w:rsid w:val="0002082B"/>
    <w:rsid w:val="0002249F"/>
    <w:rsid w:val="00022708"/>
    <w:rsid w:val="000235A3"/>
    <w:rsid w:val="00023860"/>
    <w:rsid w:val="00023C8C"/>
    <w:rsid w:val="00025A1D"/>
    <w:rsid w:val="00027A98"/>
    <w:rsid w:val="00030FF0"/>
    <w:rsid w:val="000355CE"/>
    <w:rsid w:val="0003568A"/>
    <w:rsid w:val="0003666E"/>
    <w:rsid w:val="000409ED"/>
    <w:rsid w:val="00040F6C"/>
    <w:rsid w:val="00041278"/>
    <w:rsid w:val="000413AE"/>
    <w:rsid w:val="00041F13"/>
    <w:rsid w:val="0004236C"/>
    <w:rsid w:val="000439B1"/>
    <w:rsid w:val="00043C3D"/>
    <w:rsid w:val="000464F3"/>
    <w:rsid w:val="00050DA1"/>
    <w:rsid w:val="00051D3B"/>
    <w:rsid w:val="000538A7"/>
    <w:rsid w:val="000542FE"/>
    <w:rsid w:val="000549C5"/>
    <w:rsid w:val="00055918"/>
    <w:rsid w:val="000572AC"/>
    <w:rsid w:val="00060481"/>
    <w:rsid w:val="00061307"/>
    <w:rsid w:val="00062B2D"/>
    <w:rsid w:val="000658A4"/>
    <w:rsid w:val="000663D6"/>
    <w:rsid w:val="00067423"/>
    <w:rsid w:val="0007175E"/>
    <w:rsid w:val="00072368"/>
    <w:rsid w:val="000728F8"/>
    <w:rsid w:val="00074392"/>
    <w:rsid w:val="00074670"/>
    <w:rsid w:val="000762CB"/>
    <w:rsid w:val="000771DA"/>
    <w:rsid w:val="000776BC"/>
    <w:rsid w:val="00080556"/>
    <w:rsid w:val="000818EF"/>
    <w:rsid w:val="000833BA"/>
    <w:rsid w:val="00084711"/>
    <w:rsid w:val="0008521F"/>
    <w:rsid w:val="0008615F"/>
    <w:rsid w:val="0008754A"/>
    <w:rsid w:val="00091D20"/>
    <w:rsid w:val="00096A8D"/>
    <w:rsid w:val="00096DC8"/>
    <w:rsid w:val="000A0701"/>
    <w:rsid w:val="000A0750"/>
    <w:rsid w:val="000A40AF"/>
    <w:rsid w:val="000A4AEA"/>
    <w:rsid w:val="000A503C"/>
    <w:rsid w:val="000A5409"/>
    <w:rsid w:val="000B1AD7"/>
    <w:rsid w:val="000B2F05"/>
    <w:rsid w:val="000B3BF7"/>
    <w:rsid w:val="000B5D20"/>
    <w:rsid w:val="000B7725"/>
    <w:rsid w:val="000B7E58"/>
    <w:rsid w:val="000B7FD0"/>
    <w:rsid w:val="000C0491"/>
    <w:rsid w:val="000C0E08"/>
    <w:rsid w:val="000C2174"/>
    <w:rsid w:val="000C27E2"/>
    <w:rsid w:val="000C2CB2"/>
    <w:rsid w:val="000C4832"/>
    <w:rsid w:val="000C5759"/>
    <w:rsid w:val="000C721F"/>
    <w:rsid w:val="000C7CE4"/>
    <w:rsid w:val="000D0296"/>
    <w:rsid w:val="000D2E82"/>
    <w:rsid w:val="000D2EC7"/>
    <w:rsid w:val="000D3370"/>
    <w:rsid w:val="000D49EA"/>
    <w:rsid w:val="000D5665"/>
    <w:rsid w:val="000E23FE"/>
    <w:rsid w:val="000E4832"/>
    <w:rsid w:val="000E5305"/>
    <w:rsid w:val="000E6026"/>
    <w:rsid w:val="000F0B4E"/>
    <w:rsid w:val="000F186F"/>
    <w:rsid w:val="000F2233"/>
    <w:rsid w:val="000F7341"/>
    <w:rsid w:val="001001F9"/>
    <w:rsid w:val="0010092B"/>
    <w:rsid w:val="00101583"/>
    <w:rsid w:val="00102F53"/>
    <w:rsid w:val="001035DF"/>
    <w:rsid w:val="00103C32"/>
    <w:rsid w:val="0010420D"/>
    <w:rsid w:val="00104530"/>
    <w:rsid w:val="001121D8"/>
    <w:rsid w:val="00113C11"/>
    <w:rsid w:val="00114DF0"/>
    <w:rsid w:val="00117BBC"/>
    <w:rsid w:val="00120D07"/>
    <w:rsid w:val="00120D38"/>
    <w:rsid w:val="00121091"/>
    <w:rsid w:val="00122DF5"/>
    <w:rsid w:val="00125293"/>
    <w:rsid w:val="00125900"/>
    <w:rsid w:val="00125D93"/>
    <w:rsid w:val="001300B1"/>
    <w:rsid w:val="00130C99"/>
    <w:rsid w:val="0013160C"/>
    <w:rsid w:val="001340FF"/>
    <w:rsid w:val="0013514C"/>
    <w:rsid w:val="001354B0"/>
    <w:rsid w:val="00135644"/>
    <w:rsid w:val="00140345"/>
    <w:rsid w:val="00141E9F"/>
    <w:rsid w:val="00142260"/>
    <w:rsid w:val="00142E7A"/>
    <w:rsid w:val="001452E4"/>
    <w:rsid w:val="001467C4"/>
    <w:rsid w:val="00151062"/>
    <w:rsid w:val="00155A91"/>
    <w:rsid w:val="0015693F"/>
    <w:rsid w:val="001606FC"/>
    <w:rsid w:val="00161F2F"/>
    <w:rsid w:val="00164476"/>
    <w:rsid w:val="00165106"/>
    <w:rsid w:val="0016596D"/>
    <w:rsid w:val="00167E2A"/>
    <w:rsid w:val="0017075B"/>
    <w:rsid w:val="001720DB"/>
    <w:rsid w:val="00173E14"/>
    <w:rsid w:val="00174276"/>
    <w:rsid w:val="00175A83"/>
    <w:rsid w:val="00176B92"/>
    <w:rsid w:val="00176EC5"/>
    <w:rsid w:val="00180E6C"/>
    <w:rsid w:val="001817E2"/>
    <w:rsid w:val="0018219F"/>
    <w:rsid w:val="00184AF5"/>
    <w:rsid w:val="00187EE0"/>
    <w:rsid w:val="00194651"/>
    <w:rsid w:val="00194A07"/>
    <w:rsid w:val="00195330"/>
    <w:rsid w:val="00195361"/>
    <w:rsid w:val="001955FA"/>
    <w:rsid w:val="001959A8"/>
    <w:rsid w:val="001964AD"/>
    <w:rsid w:val="001972ED"/>
    <w:rsid w:val="00197C9C"/>
    <w:rsid w:val="001A0965"/>
    <w:rsid w:val="001A0EAA"/>
    <w:rsid w:val="001A4ECF"/>
    <w:rsid w:val="001A6445"/>
    <w:rsid w:val="001B0590"/>
    <w:rsid w:val="001B4382"/>
    <w:rsid w:val="001B5B6F"/>
    <w:rsid w:val="001B6219"/>
    <w:rsid w:val="001B717C"/>
    <w:rsid w:val="001B769E"/>
    <w:rsid w:val="001C42F6"/>
    <w:rsid w:val="001C5B5B"/>
    <w:rsid w:val="001D2067"/>
    <w:rsid w:val="001D5205"/>
    <w:rsid w:val="001D54B2"/>
    <w:rsid w:val="001E08C5"/>
    <w:rsid w:val="001E1520"/>
    <w:rsid w:val="001E44E5"/>
    <w:rsid w:val="001E492E"/>
    <w:rsid w:val="001E635C"/>
    <w:rsid w:val="001E6751"/>
    <w:rsid w:val="001E6774"/>
    <w:rsid w:val="001E7DD3"/>
    <w:rsid w:val="001F006B"/>
    <w:rsid w:val="001F1343"/>
    <w:rsid w:val="001F2372"/>
    <w:rsid w:val="001F37C4"/>
    <w:rsid w:val="001F3B4B"/>
    <w:rsid w:val="001F479C"/>
    <w:rsid w:val="001F73C8"/>
    <w:rsid w:val="002011B2"/>
    <w:rsid w:val="002014E4"/>
    <w:rsid w:val="0020404E"/>
    <w:rsid w:val="00206792"/>
    <w:rsid w:val="002118C0"/>
    <w:rsid w:val="00211A8C"/>
    <w:rsid w:val="00215083"/>
    <w:rsid w:val="00215464"/>
    <w:rsid w:val="00215E2B"/>
    <w:rsid w:val="0022275E"/>
    <w:rsid w:val="00222DB2"/>
    <w:rsid w:val="00224246"/>
    <w:rsid w:val="002254F0"/>
    <w:rsid w:val="00235370"/>
    <w:rsid w:val="002479F9"/>
    <w:rsid w:val="002503DA"/>
    <w:rsid w:val="002517A7"/>
    <w:rsid w:val="00254504"/>
    <w:rsid w:val="00256D9C"/>
    <w:rsid w:val="00261797"/>
    <w:rsid w:val="00261E63"/>
    <w:rsid w:val="00262997"/>
    <w:rsid w:val="00262B44"/>
    <w:rsid w:val="00262C85"/>
    <w:rsid w:val="00265DBE"/>
    <w:rsid w:val="00266688"/>
    <w:rsid w:val="0027012E"/>
    <w:rsid w:val="00270349"/>
    <w:rsid w:val="00270888"/>
    <w:rsid w:val="0027127C"/>
    <w:rsid w:val="00272BBF"/>
    <w:rsid w:val="00274297"/>
    <w:rsid w:val="00274967"/>
    <w:rsid w:val="0027567C"/>
    <w:rsid w:val="00276392"/>
    <w:rsid w:val="00276781"/>
    <w:rsid w:val="00276F6A"/>
    <w:rsid w:val="002820AB"/>
    <w:rsid w:val="0028265D"/>
    <w:rsid w:val="00282787"/>
    <w:rsid w:val="002839CC"/>
    <w:rsid w:val="0028503E"/>
    <w:rsid w:val="002859CB"/>
    <w:rsid w:val="00290CD5"/>
    <w:rsid w:val="0029366D"/>
    <w:rsid w:val="00293A11"/>
    <w:rsid w:val="002977BD"/>
    <w:rsid w:val="002A011D"/>
    <w:rsid w:val="002A0198"/>
    <w:rsid w:val="002A354F"/>
    <w:rsid w:val="002A4B9D"/>
    <w:rsid w:val="002A644B"/>
    <w:rsid w:val="002A64C5"/>
    <w:rsid w:val="002A7F29"/>
    <w:rsid w:val="002B03EE"/>
    <w:rsid w:val="002B18BF"/>
    <w:rsid w:val="002B2496"/>
    <w:rsid w:val="002B28D5"/>
    <w:rsid w:val="002B291A"/>
    <w:rsid w:val="002B2C67"/>
    <w:rsid w:val="002B382E"/>
    <w:rsid w:val="002B6526"/>
    <w:rsid w:val="002B77ED"/>
    <w:rsid w:val="002B7DAA"/>
    <w:rsid w:val="002B7DAF"/>
    <w:rsid w:val="002C35F6"/>
    <w:rsid w:val="002C4071"/>
    <w:rsid w:val="002C54C7"/>
    <w:rsid w:val="002C5D04"/>
    <w:rsid w:val="002C7082"/>
    <w:rsid w:val="002C7522"/>
    <w:rsid w:val="002D037E"/>
    <w:rsid w:val="002D3417"/>
    <w:rsid w:val="002D3AF5"/>
    <w:rsid w:val="002E084F"/>
    <w:rsid w:val="002E11F4"/>
    <w:rsid w:val="002E3CC1"/>
    <w:rsid w:val="002E3F49"/>
    <w:rsid w:val="002E4857"/>
    <w:rsid w:val="002E5AD0"/>
    <w:rsid w:val="002E6C07"/>
    <w:rsid w:val="002E7806"/>
    <w:rsid w:val="002E7B2D"/>
    <w:rsid w:val="002F1ECA"/>
    <w:rsid w:val="002F362E"/>
    <w:rsid w:val="002F401F"/>
    <w:rsid w:val="002F412F"/>
    <w:rsid w:val="002F41C6"/>
    <w:rsid w:val="00300F45"/>
    <w:rsid w:val="00304754"/>
    <w:rsid w:val="00304F77"/>
    <w:rsid w:val="003054D2"/>
    <w:rsid w:val="00305E25"/>
    <w:rsid w:val="00307D05"/>
    <w:rsid w:val="00310C45"/>
    <w:rsid w:val="003127D2"/>
    <w:rsid w:val="00313299"/>
    <w:rsid w:val="00314B91"/>
    <w:rsid w:val="00314DFF"/>
    <w:rsid w:val="003164FD"/>
    <w:rsid w:val="003179FB"/>
    <w:rsid w:val="003206B8"/>
    <w:rsid w:val="00320AE9"/>
    <w:rsid w:val="00320D5F"/>
    <w:rsid w:val="003229AF"/>
    <w:rsid w:val="00322DFD"/>
    <w:rsid w:val="00323158"/>
    <w:rsid w:val="00323B51"/>
    <w:rsid w:val="00323B84"/>
    <w:rsid w:val="00323DAD"/>
    <w:rsid w:val="003248F3"/>
    <w:rsid w:val="00325363"/>
    <w:rsid w:val="0032625D"/>
    <w:rsid w:val="00327AE4"/>
    <w:rsid w:val="00331324"/>
    <w:rsid w:val="00336498"/>
    <w:rsid w:val="003416DE"/>
    <w:rsid w:val="00342ABE"/>
    <w:rsid w:val="003433DC"/>
    <w:rsid w:val="0034508E"/>
    <w:rsid w:val="00351829"/>
    <w:rsid w:val="003519F7"/>
    <w:rsid w:val="00351B4C"/>
    <w:rsid w:val="00351EE6"/>
    <w:rsid w:val="003549D7"/>
    <w:rsid w:val="00354C17"/>
    <w:rsid w:val="00355F65"/>
    <w:rsid w:val="003623B6"/>
    <w:rsid w:val="003672E3"/>
    <w:rsid w:val="00367FD5"/>
    <w:rsid w:val="00370B7E"/>
    <w:rsid w:val="00370D3D"/>
    <w:rsid w:val="003764FD"/>
    <w:rsid w:val="003768C7"/>
    <w:rsid w:val="00380EFA"/>
    <w:rsid w:val="003849EC"/>
    <w:rsid w:val="00385A1C"/>
    <w:rsid w:val="00385D3D"/>
    <w:rsid w:val="0038613D"/>
    <w:rsid w:val="00387D7F"/>
    <w:rsid w:val="00390AE7"/>
    <w:rsid w:val="00390DF1"/>
    <w:rsid w:val="00391E3C"/>
    <w:rsid w:val="00392053"/>
    <w:rsid w:val="00394B86"/>
    <w:rsid w:val="00394E1D"/>
    <w:rsid w:val="00395BD2"/>
    <w:rsid w:val="00395F77"/>
    <w:rsid w:val="00395FEF"/>
    <w:rsid w:val="003A1726"/>
    <w:rsid w:val="003A1E7E"/>
    <w:rsid w:val="003A212E"/>
    <w:rsid w:val="003A4DA9"/>
    <w:rsid w:val="003B20BE"/>
    <w:rsid w:val="003B34E2"/>
    <w:rsid w:val="003B36B6"/>
    <w:rsid w:val="003B5173"/>
    <w:rsid w:val="003B5413"/>
    <w:rsid w:val="003B7166"/>
    <w:rsid w:val="003C03CB"/>
    <w:rsid w:val="003C2D3B"/>
    <w:rsid w:val="003C49FC"/>
    <w:rsid w:val="003C7515"/>
    <w:rsid w:val="003D462A"/>
    <w:rsid w:val="003D688D"/>
    <w:rsid w:val="003D77F2"/>
    <w:rsid w:val="003E0E97"/>
    <w:rsid w:val="003E4456"/>
    <w:rsid w:val="003E44AE"/>
    <w:rsid w:val="003E5309"/>
    <w:rsid w:val="003E606A"/>
    <w:rsid w:val="003E7B79"/>
    <w:rsid w:val="003F1E63"/>
    <w:rsid w:val="003F1E6A"/>
    <w:rsid w:val="003F2039"/>
    <w:rsid w:val="003F2722"/>
    <w:rsid w:val="003F3714"/>
    <w:rsid w:val="003F3C3A"/>
    <w:rsid w:val="003F482A"/>
    <w:rsid w:val="00400C02"/>
    <w:rsid w:val="00401820"/>
    <w:rsid w:val="00411D17"/>
    <w:rsid w:val="00412058"/>
    <w:rsid w:val="00412239"/>
    <w:rsid w:val="00413682"/>
    <w:rsid w:val="0041423F"/>
    <w:rsid w:val="004150BD"/>
    <w:rsid w:val="004155BA"/>
    <w:rsid w:val="00416199"/>
    <w:rsid w:val="00416D54"/>
    <w:rsid w:val="00417393"/>
    <w:rsid w:val="004175DC"/>
    <w:rsid w:val="0042118B"/>
    <w:rsid w:val="0042218C"/>
    <w:rsid w:val="00422B7C"/>
    <w:rsid w:val="00422D6B"/>
    <w:rsid w:val="004245B6"/>
    <w:rsid w:val="00424A34"/>
    <w:rsid w:val="00424F43"/>
    <w:rsid w:val="00427863"/>
    <w:rsid w:val="00431214"/>
    <w:rsid w:val="00432898"/>
    <w:rsid w:val="00432B1F"/>
    <w:rsid w:val="00432CC2"/>
    <w:rsid w:val="0043354D"/>
    <w:rsid w:val="004367B4"/>
    <w:rsid w:val="00441A61"/>
    <w:rsid w:val="004438AE"/>
    <w:rsid w:val="0045119F"/>
    <w:rsid w:val="004523A0"/>
    <w:rsid w:val="00453ED8"/>
    <w:rsid w:val="00460EAB"/>
    <w:rsid w:val="0046106E"/>
    <w:rsid w:val="00462F87"/>
    <w:rsid w:val="0046512D"/>
    <w:rsid w:val="0046622F"/>
    <w:rsid w:val="00466406"/>
    <w:rsid w:val="00470F1B"/>
    <w:rsid w:val="004711A5"/>
    <w:rsid w:val="00474E14"/>
    <w:rsid w:val="00475E4B"/>
    <w:rsid w:val="0047700E"/>
    <w:rsid w:val="00481368"/>
    <w:rsid w:val="00481F27"/>
    <w:rsid w:val="004874AC"/>
    <w:rsid w:val="00490933"/>
    <w:rsid w:val="0049103B"/>
    <w:rsid w:val="004912D1"/>
    <w:rsid w:val="00491C21"/>
    <w:rsid w:val="00492C5B"/>
    <w:rsid w:val="00496E34"/>
    <w:rsid w:val="004A06CB"/>
    <w:rsid w:val="004A139B"/>
    <w:rsid w:val="004A2D58"/>
    <w:rsid w:val="004A3A92"/>
    <w:rsid w:val="004B17C8"/>
    <w:rsid w:val="004B2053"/>
    <w:rsid w:val="004B21B2"/>
    <w:rsid w:val="004B2888"/>
    <w:rsid w:val="004B6F74"/>
    <w:rsid w:val="004C0414"/>
    <w:rsid w:val="004C0884"/>
    <w:rsid w:val="004C20B0"/>
    <w:rsid w:val="004C256F"/>
    <w:rsid w:val="004C3968"/>
    <w:rsid w:val="004C3DE5"/>
    <w:rsid w:val="004C43BE"/>
    <w:rsid w:val="004C4CA9"/>
    <w:rsid w:val="004C54BA"/>
    <w:rsid w:val="004C5509"/>
    <w:rsid w:val="004C6993"/>
    <w:rsid w:val="004D25A7"/>
    <w:rsid w:val="004D2D63"/>
    <w:rsid w:val="004D3916"/>
    <w:rsid w:val="004D3B51"/>
    <w:rsid w:val="004D686B"/>
    <w:rsid w:val="004D7AFB"/>
    <w:rsid w:val="004E2221"/>
    <w:rsid w:val="004E2260"/>
    <w:rsid w:val="004E436C"/>
    <w:rsid w:val="004E791D"/>
    <w:rsid w:val="004F4CCC"/>
    <w:rsid w:val="004F5008"/>
    <w:rsid w:val="004F59A6"/>
    <w:rsid w:val="004F5AD0"/>
    <w:rsid w:val="00500222"/>
    <w:rsid w:val="00501C8A"/>
    <w:rsid w:val="005031E5"/>
    <w:rsid w:val="00503EE3"/>
    <w:rsid w:val="00504FAF"/>
    <w:rsid w:val="00506E03"/>
    <w:rsid w:val="005104D0"/>
    <w:rsid w:val="005108E8"/>
    <w:rsid w:val="005109FF"/>
    <w:rsid w:val="00511165"/>
    <w:rsid w:val="00512E4E"/>
    <w:rsid w:val="00513281"/>
    <w:rsid w:val="005145E6"/>
    <w:rsid w:val="00516716"/>
    <w:rsid w:val="005208BF"/>
    <w:rsid w:val="005209FC"/>
    <w:rsid w:val="0052166D"/>
    <w:rsid w:val="00522B74"/>
    <w:rsid w:val="00522E18"/>
    <w:rsid w:val="00524ADC"/>
    <w:rsid w:val="00525DF2"/>
    <w:rsid w:val="005316E9"/>
    <w:rsid w:val="005329F2"/>
    <w:rsid w:val="00532D61"/>
    <w:rsid w:val="005340E7"/>
    <w:rsid w:val="005363B3"/>
    <w:rsid w:val="005366A9"/>
    <w:rsid w:val="00536E87"/>
    <w:rsid w:val="00540F5B"/>
    <w:rsid w:val="00542BB6"/>
    <w:rsid w:val="00543365"/>
    <w:rsid w:val="0054337D"/>
    <w:rsid w:val="0054343F"/>
    <w:rsid w:val="00546D3F"/>
    <w:rsid w:val="00552790"/>
    <w:rsid w:val="00552B18"/>
    <w:rsid w:val="00552DBB"/>
    <w:rsid w:val="00553109"/>
    <w:rsid w:val="005539F5"/>
    <w:rsid w:val="005544B9"/>
    <w:rsid w:val="00554F2B"/>
    <w:rsid w:val="0055737C"/>
    <w:rsid w:val="005606D0"/>
    <w:rsid w:val="00561864"/>
    <w:rsid w:val="0056291E"/>
    <w:rsid w:val="0056657E"/>
    <w:rsid w:val="0057102F"/>
    <w:rsid w:val="00571655"/>
    <w:rsid w:val="00572686"/>
    <w:rsid w:val="00572ECE"/>
    <w:rsid w:val="00574570"/>
    <w:rsid w:val="00577028"/>
    <w:rsid w:val="00577214"/>
    <w:rsid w:val="00580410"/>
    <w:rsid w:val="0058307A"/>
    <w:rsid w:val="005842BF"/>
    <w:rsid w:val="0058437F"/>
    <w:rsid w:val="00590715"/>
    <w:rsid w:val="005913D2"/>
    <w:rsid w:val="00591A61"/>
    <w:rsid w:val="00594164"/>
    <w:rsid w:val="00594405"/>
    <w:rsid w:val="005952D0"/>
    <w:rsid w:val="0059795D"/>
    <w:rsid w:val="005A08B7"/>
    <w:rsid w:val="005A0B26"/>
    <w:rsid w:val="005A18FC"/>
    <w:rsid w:val="005A28E3"/>
    <w:rsid w:val="005A592B"/>
    <w:rsid w:val="005A70D7"/>
    <w:rsid w:val="005B100F"/>
    <w:rsid w:val="005B293C"/>
    <w:rsid w:val="005B2C5B"/>
    <w:rsid w:val="005B3944"/>
    <w:rsid w:val="005B3F53"/>
    <w:rsid w:val="005B46A2"/>
    <w:rsid w:val="005B5622"/>
    <w:rsid w:val="005C0194"/>
    <w:rsid w:val="005C0622"/>
    <w:rsid w:val="005C2314"/>
    <w:rsid w:val="005C4BED"/>
    <w:rsid w:val="005C5A12"/>
    <w:rsid w:val="005C6835"/>
    <w:rsid w:val="005D0BE5"/>
    <w:rsid w:val="005D0DA7"/>
    <w:rsid w:val="005D35E5"/>
    <w:rsid w:val="005D4527"/>
    <w:rsid w:val="005D4E34"/>
    <w:rsid w:val="005D6214"/>
    <w:rsid w:val="005E06F3"/>
    <w:rsid w:val="005E1124"/>
    <w:rsid w:val="005E3A77"/>
    <w:rsid w:val="005E4F2C"/>
    <w:rsid w:val="005E5DA0"/>
    <w:rsid w:val="005F23FF"/>
    <w:rsid w:val="005F2A3F"/>
    <w:rsid w:val="005F3061"/>
    <w:rsid w:val="00600808"/>
    <w:rsid w:val="00601D3D"/>
    <w:rsid w:val="00604073"/>
    <w:rsid w:val="00604158"/>
    <w:rsid w:val="00606929"/>
    <w:rsid w:val="0060756A"/>
    <w:rsid w:val="00610243"/>
    <w:rsid w:val="00610716"/>
    <w:rsid w:val="006127B5"/>
    <w:rsid w:val="00612870"/>
    <w:rsid w:val="00612FAB"/>
    <w:rsid w:val="00613224"/>
    <w:rsid w:val="006173B6"/>
    <w:rsid w:val="00620061"/>
    <w:rsid w:val="0062120B"/>
    <w:rsid w:val="006246B5"/>
    <w:rsid w:val="00624B64"/>
    <w:rsid w:val="00625DA9"/>
    <w:rsid w:val="00626F4B"/>
    <w:rsid w:val="0063115A"/>
    <w:rsid w:val="0063432F"/>
    <w:rsid w:val="006366E3"/>
    <w:rsid w:val="006433BD"/>
    <w:rsid w:val="00643E4B"/>
    <w:rsid w:val="00645E15"/>
    <w:rsid w:val="006460B5"/>
    <w:rsid w:val="006471A1"/>
    <w:rsid w:val="00651455"/>
    <w:rsid w:val="00651D04"/>
    <w:rsid w:val="006564C2"/>
    <w:rsid w:val="0066049F"/>
    <w:rsid w:val="006607A4"/>
    <w:rsid w:val="00661586"/>
    <w:rsid w:val="00661DCA"/>
    <w:rsid w:val="00664072"/>
    <w:rsid w:val="006715A6"/>
    <w:rsid w:val="00673B62"/>
    <w:rsid w:val="00674063"/>
    <w:rsid w:val="0067653D"/>
    <w:rsid w:val="0068090F"/>
    <w:rsid w:val="006811AD"/>
    <w:rsid w:val="00681E86"/>
    <w:rsid w:val="006827D2"/>
    <w:rsid w:val="0068398C"/>
    <w:rsid w:val="00684C21"/>
    <w:rsid w:val="006867A1"/>
    <w:rsid w:val="006907B7"/>
    <w:rsid w:val="00690A0E"/>
    <w:rsid w:val="00691718"/>
    <w:rsid w:val="0069348F"/>
    <w:rsid w:val="00693F03"/>
    <w:rsid w:val="0069404D"/>
    <w:rsid w:val="006941A4"/>
    <w:rsid w:val="006945D0"/>
    <w:rsid w:val="00694A21"/>
    <w:rsid w:val="00695128"/>
    <w:rsid w:val="006960E9"/>
    <w:rsid w:val="00696391"/>
    <w:rsid w:val="006964AD"/>
    <w:rsid w:val="006A15EE"/>
    <w:rsid w:val="006A2600"/>
    <w:rsid w:val="006A69E0"/>
    <w:rsid w:val="006A7EA8"/>
    <w:rsid w:val="006B11C0"/>
    <w:rsid w:val="006B15B4"/>
    <w:rsid w:val="006B25B0"/>
    <w:rsid w:val="006B540B"/>
    <w:rsid w:val="006B54C2"/>
    <w:rsid w:val="006B5EBA"/>
    <w:rsid w:val="006B7995"/>
    <w:rsid w:val="006B7F92"/>
    <w:rsid w:val="006C080D"/>
    <w:rsid w:val="006C31BB"/>
    <w:rsid w:val="006C4B11"/>
    <w:rsid w:val="006C4C02"/>
    <w:rsid w:val="006C59FC"/>
    <w:rsid w:val="006C66CE"/>
    <w:rsid w:val="006C691B"/>
    <w:rsid w:val="006D214D"/>
    <w:rsid w:val="006D35B2"/>
    <w:rsid w:val="006D3D5E"/>
    <w:rsid w:val="006D435D"/>
    <w:rsid w:val="006D7B24"/>
    <w:rsid w:val="006E00B3"/>
    <w:rsid w:val="006E0C4C"/>
    <w:rsid w:val="006E0E48"/>
    <w:rsid w:val="006E463B"/>
    <w:rsid w:val="006E58E0"/>
    <w:rsid w:val="006E5EA6"/>
    <w:rsid w:val="006E77EB"/>
    <w:rsid w:val="006E7C0E"/>
    <w:rsid w:val="006F1D3B"/>
    <w:rsid w:val="006F5124"/>
    <w:rsid w:val="006F5178"/>
    <w:rsid w:val="007001CC"/>
    <w:rsid w:val="00702E15"/>
    <w:rsid w:val="007038E9"/>
    <w:rsid w:val="00706621"/>
    <w:rsid w:val="00710C05"/>
    <w:rsid w:val="007129DC"/>
    <w:rsid w:val="007170FE"/>
    <w:rsid w:val="00717CEA"/>
    <w:rsid w:val="00721F45"/>
    <w:rsid w:val="0072445B"/>
    <w:rsid w:val="0073049C"/>
    <w:rsid w:val="0073177C"/>
    <w:rsid w:val="0073301A"/>
    <w:rsid w:val="007333B0"/>
    <w:rsid w:val="00733584"/>
    <w:rsid w:val="00734AAC"/>
    <w:rsid w:val="00734D77"/>
    <w:rsid w:val="00735B76"/>
    <w:rsid w:val="00736C41"/>
    <w:rsid w:val="0073776C"/>
    <w:rsid w:val="007418D3"/>
    <w:rsid w:val="00744057"/>
    <w:rsid w:val="00745949"/>
    <w:rsid w:val="007479A2"/>
    <w:rsid w:val="00750D8E"/>
    <w:rsid w:val="00751126"/>
    <w:rsid w:val="00754013"/>
    <w:rsid w:val="00755236"/>
    <w:rsid w:val="00755B9E"/>
    <w:rsid w:val="007563FB"/>
    <w:rsid w:val="007565B6"/>
    <w:rsid w:val="0075716D"/>
    <w:rsid w:val="00760973"/>
    <w:rsid w:val="007644D2"/>
    <w:rsid w:val="007652F1"/>
    <w:rsid w:val="00765C7B"/>
    <w:rsid w:val="0076628E"/>
    <w:rsid w:val="007663D2"/>
    <w:rsid w:val="007668D1"/>
    <w:rsid w:val="00767248"/>
    <w:rsid w:val="0077483C"/>
    <w:rsid w:val="0077513E"/>
    <w:rsid w:val="00775333"/>
    <w:rsid w:val="007762EC"/>
    <w:rsid w:val="00777E84"/>
    <w:rsid w:val="0078326B"/>
    <w:rsid w:val="0078492A"/>
    <w:rsid w:val="00785164"/>
    <w:rsid w:val="00785B8C"/>
    <w:rsid w:val="00792D85"/>
    <w:rsid w:val="00792DCA"/>
    <w:rsid w:val="00793870"/>
    <w:rsid w:val="00795808"/>
    <w:rsid w:val="007959C3"/>
    <w:rsid w:val="00796C4B"/>
    <w:rsid w:val="00797462"/>
    <w:rsid w:val="007975CB"/>
    <w:rsid w:val="007A096A"/>
    <w:rsid w:val="007A1589"/>
    <w:rsid w:val="007A24F8"/>
    <w:rsid w:val="007A5822"/>
    <w:rsid w:val="007A7036"/>
    <w:rsid w:val="007B04E3"/>
    <w:rsid w:val="007B0CCC"/>
    <w:rsid w:val="007C1AF5"/>
    <w:rsid w:val="007C25D9"/>
    <w:rsid w:val="007C2BF3"/>
    <w:rsid w:val="007C318C"/>
    <w:rsid w:val="007C4F2D"/>
    <w:rsid w:val="007C5F78"/>
    <w:rsid w:val="007C731F"/>
    <w:rsid w:val="007C7C30"/>
    <w:rsid w:val="007D1534"/>
    <w:rsid w:val="007D24C3"/>
    <w:rsid w:val="007D2561"/>
    <w:rsid w:val="007D3D27"/>
    <w:rsid w:val="007D6731"/>
    <w:rsid w:val="007D6B90"/>
    <w:rsid w:val="007D75D9"/>
    <w:rsid w:val="007E1A8A"/>
    <w:rsid w:val="007E2A39"/>
    <w:rsid w:val="007E2C74"/>
    <w:rsid w:val="007E2CD3"/>
    <w:rsid w:val="007E2F69"/>
    <w:rsid w:val="007E4CA1"/>
    <w:rsid w:val="007E6D89"/>
    <w:rsid w:val="007F0487"/>
    <w:rsid w:val="007F0E50"/>
    <w:rsid w:val="007F15DA"/>
    <w:rsid w:val="007F36DE"/>
    <w:rsid w:val="007F3C4E"/>
    <w:rsid w:val="007F3FF7"/>
    <w:rsid w:val="007F40AC"/>
    <w:rsid w:val="007F41D7"/>
    <w:rsid w:val="007F69F9"/>
    <w:rsid w:val="007F735A"/>
    <w:rsid w:val="00801D09"/>
    <w:rsid w:val="008026AF"/>
    <w:rsid w:val="00802834"/>
    <w:rsid w:val="00803EAD"/>
    <w:rsid w:val="00804014"/>
    <w:rsid w:val="00806164"/>
    <w:rsid w:val="008115F2"/>
    <w:rsid w:val="00813746"/>
    <w:rsid w:val="00816A70"/>
    <w:rsid w:val="00816BA5"/>
    <w:rsid w:val="0081701D"/>
    <w:rsid w:val="00821E6B"/>
    <w:rsid w:val="00822144"/>
    <w:rsid w:val="00824516"/>
    <w:rsid w:val="008250AA"/>
    <w:rsid w:val="00826371"/>
    <w:rsid w:val="00826BD2"/>
    <w:rsid w:val="00831F5D"/>
    <w:rsid w:val="00832946"/>
    <w:rsid w:val="0083400B"/>
    <w:rsid w:val="008345F2"/>
    <w:rsid w:val="008348BD"/>
    <w:rsid w:val="00834ACB"/>
    <w:rsid w:val="008359EC"/>
    <w:rsid w:val="00836DB9"/>
    <w:rsid w:val="0083715B"/>
    <w:rsid w:val="00837E0D"/>
    <w:rsid w:val="00840FC8"/>
    <w:rsid w:val="00841710"/>
    <w:rsid w:val="008421F1"/>
    <w:rsid w:val="00844B6D"/>
    <w:rsid w:val="00846C53"/>
    <w:rsid w:val="0084744B"/>
    <w:rsid w:val="00850BF3"/>
    <w:rsid w:val="008544E0"/>
    <w:rsid w:val="00854681"/>
    <w:rsid w:val="00857135"/>
    <w:rsid w:val="00860FEB"/>
    <w:rsid w:val="00862B19"/>
    <w:rsid w:val="00862BFB"/>
    <w:rsid w:val="0086312F"/>
    <w:rsid w:val="00864C26"/>
    <w:rsid w:val="00866814"/>
    <w:rsid w:val="008735B4"/>
    <w:rsid w:val="00875A55"/>
    <w:rsid w:val="00877A9B"/>
    <w:rsid w:val="00880621"/>
    <w:rsid w:val="00881F94"/>
    <w:rsid w:val="008825E6"/>
    <w:rsid w:val="00883E7C"/>
    <w:rsid w:val="008840D3"/>
    <w:rsid w:val="00884480"/>
    <w:rsid w:val="00884735"/>
    <w:rsid w:val="00884A58"/>
    <w:rsid w:val="00885D81"/>
    <w:rsid w:val="008864A0"/>
    <w:rsid w:val="00887F15"/>
    <w:rsid w:val="008900AD"/>
    <w:rsid w:val="00892341"/>
    <w:rsid w:val="00893F02"/>
    <w:rsid w:val="00894BB5"/>
    <w:rsid w:val="00894CFC"/>
    <w:rsid w:val="00895F40"/>
    <w:rsid w:val="00896057"/>
    <w:rsid w:val="00896A58"/>
    <w:rsid w:val="008A0D97"/>
    <w:rsid w:val="008A1E99"/>
    <w:rsid w:val="008A30D4"/>
    <w:rsid w:val="008A3720"/>
    <w:rsid w:val="008A58B3"/>
    <w:rsid w:val="008A6A31"/>
    <w:rsid w:val="008A7DA2"/>
    <w:rsid w:val="008A7E07"/>
    <w:rsid w:val="008A7EF7"/>
    <w:rsid w:val="008B02D1"/>
    <w:rsid w:val="008B0578"/>
    <w:rsid w:val="008B1661"/>
    <w:rsid w:val="008B22C6"/>
    <w:rsid w:val="008B27ED"/>
    <w:rsid w:val="008B4331"/>
    <w:rsid w:val="008B5FC2"/>
    <w:rsid w:val="008B6A69"/>
    <w:rsid w:val="008B766C"/>
    <w:rsid w:val="008B7B86"/>
    <w:rsid w:val="008C02D3"/>
    <w:rsid w:val="008C08EB"/>
    <w:rsid w:val="008C0A41"/>
    <w:rsid w:val="008C1048"/>
    <w:rsid w:val="008C2D18"/>
    <w:rsid w:val="008C4826"/>
    <w:rsid w:val="008C7AB8"/>
    <w:rsid w:val="008D397A"/>
    <w:rsid w:val="008D3CD4"/>
    <w:rsid w:val="008D4BA7"/>
    <w:rsid w:val="008D51B6"/>
    <w:rsid w:val="008D56A3"/>
    <w:rsid w:val="008D575A"/>
    <w:rsid w:val="008D7090"/>
    <w:rsid w:val="008E0D06"/>
    <w:rsid w:val="008E26EC"/>
    <w:rsid w:val="008E2B1D"/>
    <w:rsid w:val="008E7BD1"/>
    <w:rsid w:val="008F7E90"/>
    <w:rsid w:val="0090045D"/>
    <w:rsid w:val="00900A17"/>
    <w:rsid w:val="009012DA"/>
    <w:rsid w:val="009015AC"/>
    <w:rsid w:val="00903D20"/>
    <w:rsid w:val="009111A6"/>
    <w:rsid w:val="0091161E"/>
    <w:rsid w:val="009127F3"/>
    <w:rsid w:val="00912EDB"/>
    <w:rsid w:val="0091416B"/>
    <w:rsid w:val="00914FB0"/>
    <w:rsid w:val="00921DE3"/>
    <w:rsid w:val="00925DA8"/>
    <w:rsid w:val="00926183"/>
    <w:rsid w:val="00933E02"/>
    <w:rsid w:val="009403ED"/>
    <w:rsid w:val="009411DE"/>
    <w:rsid w:val="00944E8C"/>
    <w:rsid w:val="009464B9"/>
    <w:rsid w:val="009510F7"/>
    <w:rsid w:val="009536B8"/>
    <w:rsid w:val="00955D23"/>
    <w:rsid w:val="00956131"/>
    <w:rsid w:val="0095623F"/>
    <w:rsid w:val="009579E7"/>
    <w:rsid w:val="00960E04"/>
    <w:rsid w:val="00961CA7"/>
    <w:rsid w:val="00962BF7"/>
    <w:rsid w:val="00962E13"/>
    <w:rsid w:val="00965D8F"/>
    <w:rsid w:val="00966405"/>
    <w:rsid w:val="00971D7B"/>
    <w:rsid w:val="009726F7"/>
    <w:rsid w:val="00972884"/>
    <w:rsid w:val="00973C51"/>
    <w:rsid w:val="009759E3"/>
    <w:rsid w:val="00975FFD"/>
    <w:rsid w:val="00977C26"/>
    <w:rsid w:val="0098130D"/>
    <w:rsid w:val="009815EA"/>
    <w:rsid w:val="00982E2B"/>
    <w:rsid w:val="009853B2"/>
    <w:rsid w:val="00985739"/>
    <w:rsid w:val="00985ADD"/>
    <w:rsid w:val="00987408"/>
    <w:rsid w:val="00992BD0"/>
    <w:rsid w:val="0099543B"/>
    <w:rsid w:val="009A1EF5"/>
    <w:rsid w:val="009A2401"/>
    <w:rsid w:val="009A2CD8"/>
    <w:rsid w:val="009A3EB7"/>
    <w:rsid w:val="009A4315"/>
    <w:rsid w:val="009A4B40"/>
    <w:rsid w:val="009A4E37"/>
    <w:rsid w:val="009B03FF"/>
    <w:rsid w:val="009B0EB0"/>
    <w:rsid w:val="009B2B1B"/>
    <w:rsid w:val="009B3C9D"/>
    <w:rsid w:val="009B4532"/>
    <w:rsid w:val="009B51F6"/>
    <w:rsid w:val="009B6A69"/>
    <w:rsid w:val="009B6BA0"/>
    <w:rsid w:val="009C1D95"/>
    <w:rsid w:val="009C4E4D"/>
    <w:rsid w:val="009C59DA"/>
    <w:rsid w:val="009C693D"/>
    <w:rsid w:val="009C7768"/>
    <w:rsid w:val="009D1210"/>
    <w:rsid w:val="009D1684"/>
    <w:rsid w:val="009D352C"/>
    <w:rsid w:val="009D6198"/>
    <w:rsid w:val="009D62E3"/>
    <w:rsid w:val="009D70B8"/>
    <w:rsid w:val="009E40AE"/>
    <w:rsid w:val="009E6318"/>
    <w:rsid w:val="009E6C62"/>
    <w:rsid w:val="009F2A6C"/>
    <w:rsid w:val="009F48BB"/>
    <w:rsid w:val="009F6661"/>
    <w:rsid w:val="009F7BE0"/>
    <w:rsid w:val="00A00D31"/>
    <w:rsid w:val="00A0478D"/>
    <w:rsid w:val="00A06854"/>
    <w:rsid w:val="00A07FED"/>
    <w:rsid w:val="00A11DEE"/>
    <w:rsid w:val="00A12A51"/>
    <w:rsid w:val="00A13D88"/>
    <w:rsid w:val="00A14401"/>
    <w:rsid w:val="00A14606"/>
    <w:rsid w:val="00A15749"/>
    <w:rsid w:val="00A157DD"/>
    <w:rsid w:val="00A15B51"/>
    <w:rsid w:val="00A16D1B"/>
    <w:rsid w:val="00A171FC"/>
    <w:rsid w:val="00A2124B"/>
    <w:rsid w:val="00A257C3"/>
    <w:rsid w:val="00A25D7F"/>
    <w:rsid w:val="00A26913"/>
    <w:rsid w:val="00A271EF"/>
    <w:rsid w:val="00A30E48"/>
    <w:rsid w:val="00A3292F"/>
    <w:rsid w:val="00A37154"/>
    <w:rsid w:val="00A37454"/>
    <w:rsid w:val="00A37EBA"/>
    <w:rsid w:val="00A41067"/>
    <w:rsid w:val="00A4598D"/>
    <w:rsid w:val="00A470E5"/>
    <w:rsid w:val="00A50BC3"/>
    <w:rsid w:val="00A5189E"/>
    <w:rsid w:val="00A57C9B"/>
    <w:rsid w:val="00A610AD"/>
    <w:rsid w:val="00A62254"/>
    <w:rsid w:val="00A62482"/>
    <w:rsid w:val="00A62624"/>
    <w:rsid w:val="00A628C5"/>
    <w:rsid w:val="00A639BA"/>
    <w:rsid w:val="00A652F4"/>
    <w:rsid w:val="00A66FED"/>
    <w:rsid w:val="00A712A6"/>
    <w:rsid w:val="00A71ECA"/>
    <w:rsid w:val="00A72526"/>
    <w:rsid w:val="00A737A4"/>
    <w:rsid w:val="00A801F6"/>
    <w:rsid w:val="00A80B88"/>
    <w:rsid w:val="00A814FB"/>
    <w:rsid w:val="00A833B0"/>
    <w:rsid w:val="00A84C2D"/>
    <w:rsid w:val="00A85D4E"/>
    <w:rsid w:val="00A86C9E"/>
    <w:rsid w:val="00A87458"/>
    <w:rsid w:val="00A8787A"/>
    <w:rsid w:val="00A87984"/>
    <w:rsid w:val="00A90F14"/>
    <w:rsid w:val="00A91677"/>
    <w:rsid w:val="00A9268B"/>
    <w:rsid w:val="00A938F4"/>
    <w:rsid w:val="00A94186"/>
    <w:rsid w:val="00A94DD2"/>
    <w:rsid w:val="00A94F1B"/>
    <w:rsid w:val="00A95B6E"/>
    <w:rsid w:val="00A973DA"/>
    <w:rsid w:val="00AA0FED"/>
    <w:rsid w:val="00AA1479"/>
    <w:rsid w:val="00AA1962"/>
    <w:rsid w:val="00AA385A"/>
    <w:rsid w:val="00AA633B"/>
    <w:rsid w:val="00AA6F50"/>
    <w:rsid w:val="00AA7B4E"/>
    <w:rsid w:val="00AB0768"/>
    <w:rsid w:val="00AB1473"/>
    <w:rsid w:val="00AB1D6E"/>
    <w:rsid w:val="00AB1F20"/>
    <w:rsid w:val="00AB2651"/>
    <w:rsid w:val="00AB4A40"/>
    <w:rsid w:val="00AB6082"/>
    <w:rsid w:val="00AB757C"/>
    <w:rsid w:val="00AC10FE"/>
    <w:rsid w:val="00AC2920"/>
    <w:rsid w:val="00AC315B"/>
    <w:rsid w:val="00AC59A8"/>
    <w:rsid w:val="00AC7656"/>
    <w:rsid w:val="00AD0FF3"/>
    <w:rsid w:val="00AD11AA"/>
    <w:rsid w:val="00AD18A8"/>
    <w:rsid w:val="00AD2A2A"/>
    <w:rsid w:val="00AD3DE7"/>
    <w:rsid w:val="00AD6C5C"/>
    <w:rsid w:val="00AE2D94"/>
    <w:rsid w:val="00AF06DE"/>
    <w:rsid w:val="00AF0D98"/>
    <w:rsid w:val="00AF2F44"/>
    <w:rsid w:val="00AF4A57"/>
    <w:rsid w:val="00AF51BC"/>
    <w:rsid w:val="00AF549A"/>
    <w:rsid w:val="00AF6272"/>
    <w:rsid w:val="00AF64AA"/>
    <w:rsid w:val="00AF6B40"/>
    <w:rsid w:val="00AF7308"/>
    <w:rsid w:val="00B0002A"/>
    <w:rsid w:val="00B019E4"/>
    <w:rsid w:val="00B045A6"/>
    <w:rsid w:val="00B06359"/>
    <w:rsid w:val="00B07B50"/>
    <w:rsid w:val="00B11537"/>
    <w:rsid w:val="00B14719"/>
    <w:rsid w:val="00B14FE1"/>
    <w:rsid w:val="00B23F1E"/>
    <w:rsid w:val="00B25712"/>
    <w:rsid w:val="00B26304"/>
    <w:rsid w:val="00B2719A"/>
    <w:rsid w:val="00B27931"/>
    <w:rsid w:val="00B27B16"/>
    <w:rsid w:val="00B300A4"/>
    <w:rsid w:val="00B30CA1"/>
    <w:rsid w:val="00B30CBD"/>
    <w:rsid w:val="00B315CB"/>
    <w:rsid w:val="00B32127"/>
    <w:rsid w:val="00B33885"/>
    <w:rsid w:val="00B33ACC"/>
    <w:rsid w:val="00B36276"/>
    <w:rsid w:val="00B3758E"/>
    <w:rsid w:val="00B37DE0"/>
    <w:rsid w:val="00B40B97"/>
    <w:rsid w:val="00B42892"/>
    <w:rsid w:val="00B428EE"/>
    <w:rsid w:val="00B5081C"/>
    <w:rsid w:val="00B5106A"/>
    <w:rsid w:val="00B511B0"/>
    <w:rsid w:val="00B56C3E"/>
    <w:rsid w:val="00B623D9"/>
    <w:rsid w:val="00B6562A"/>
    <w:rsid w:val="00B671D7"/>
    <w:rsid w:val="00B72578"/>
    <w:rsid w:val="00B72B63"/>
    <w:rsid w:val="00B73D65"/>
    <w:rsid w:val="00B75539"/>
    <w:rsid w:val="00B7677A"/>
    <w:rsid w:val="00B852DC"/>
    <w:rsid w:val="00B86CE5"/>
    <w:rsid w:val="00B8738C"/>
    <w:rsid w:val="00B87512"/>
    <w:rsid w:val="00B9006C"/>
    <w:rsid w:val="00B91223"/>
    <w:rsid w:val="00B92707"/>
    <w:rsid w:val="00B93760"/>
    <w:rsid w:val="00B94975"/>
    <w:rsid w:val="00B95709"/>
    <w:rsid w:val="00B96D1D"/>
    <w:rsid w:val="00B97B93"/>
    <w:rsid w:val="00B97F44"/>
    <w:rsid w:val="00BA0ACB"/>
    <w:rsid w:val="00BA2703"/>
    <w:rsid w:val="00BA5D0D"/>
    <w:rsid w:val="00BB0AE0"/>
    <w:rsid w:val="00BB3D62"/>
    <w:rsid w:val="00BB3F83"/>
    <w:rsid w:val="00BB4ACE"/>
    <w:rsid w:val="00BB59D3"/>
    <w:rsid w:val="00BB7EB2"/>
    <w:rsid w:val="00BC1033"/>
    <w:rsid w:val="00BC1D24"/>
    <w:rsid w:val="00BC2C98"/>
    <w:rsid w:val="00BC52AD"/>
    <w:rsid w:val="00BC5722"/>
    <w:rsid w:val="00BC626F"/>
    <w:rsid w:val="00BD064A"/>
    <w:rsid w:val="00BD1116"/>
    <w:rsid w:val="00BD2A80"/>
    <w:rsid w:val="00BD3A86"/>
    <w:rsid w:val="00BD425E"/>
    <w:rsid w:val="00BD43DC"/>
    <w:rsid w:val="00BE02DD"/>
    <w:rsid w:val="00BE399B"/>
    <w:rsid w:val="00BE47AB"/>
    <w:rsid w:val="00BE604B"/>
    <w:rsid w:val="00BF1BD5"/>
    <w:rsid w:val="00BF2EC0"/>
    <w:rsid w:val="00BF4DF2"/>
    <w:rsid w:val="00BF504B"/>
    <w:rsid w:val="00BF5983"/>
    <w:rsid w:val="00C00028"/>
    <w:rsid w:val="00C00BE3"/>
    <w:rsid w:val="00C037CD"/>
    <w:rsid w:val="00C03970"/>
    <w:rsid w:val="00C0452F"/>
    <w:rsid w:val="00C05827"/>
    <w:rsid w:val="00C07EBB"/>
    <w:rsid w:val="00C07FE3"/>
    <w:rsid w:val="00C10474"/>
    <w:rsid w:val="00C10502"/>
    <w:rsid w:val="00C110BA"/>
    <w:rsid w:val="00C12F06"/>
    <w:rsid w:val="00C1333F"/>
    <w:rsid w:val="00C13A8E"/>
    <w:rsid w:val="00C144E8"/>
    <w:rsid w:val="00C160C0"/>
    <w:rsid w:val="00C164A0"/>
    <w:rsid w:val="00C16524"/>
    <w:rsid w:val="00C17FF6"/>
    <w:rsid w:val="00C226A1"/>
    <w:rsid w:val="00C2520D"/>
    <w:rsid w:val="00C25E0F"/>
    <w:rsid w:val="00C2740F"/>
    <w:rsid w:val="00C31322"/>
    <w:rsid w:val="00C31BAE"/>
    <w:rsid w:val="00C41358"/>
    <w:rsid w:val="00C422CE"/>
    <w:rsid w:val="00C42937"/>
    <w:rsid w:val="00C47A03"/>
    <w:rsid w:val="00C47C3B"/>
    <w:rsid w:val="00C47EA5"/>
    <w:rsid w:val="00C5108C"/>
    <w:rsid w:val="00C52A65"/>
    <w:rsid w:val="00C52AC2"/>
    <w:rsid w:val="00C52BAA"/>
    <w:rsid w:val="00C53A8F"/>
    <w:rsid w:val="00C53DAF"/>
    <w:rsid w:val="00C54738"/>
    <w:rsid w:val="00C55EF3"/>
    <w:rsid w:val="00C56348"/>
    <w:rsid w:val="00C604B8"/>
    <w:rsid w:val="00C629C3"/>
    <w:rsid w:val="00C631B5"/>
    <w:rsid w:val="00C63B1C"/>
    <w:rsid w:val="00C655A3"/>
    <w:rsid w:val="00C72917"/>
    <w:rsid w:val="00C760FC"/>
    <w:rsid w:val="00C800D7"/>
    <w:rsid w:val="00C80655"/>
    <w:rsid w:val="00C80EAC"/>
    <w:rsid w:val="00C831E4"/>
    <w:rsid w:val="00C83EE5"/>
    <w:rsid w:val="00C855DC"/>
    <w:rsid w:val="00C85A90"/>
    <w:rsid w:val="00C86006"/>
    <w:rsid w:val="00C90F5B"/>
    <w:rsid w:val="00C92B18"/>
    <w:rsid w:val="00C945D7"/>
    <w:rsid w:val="00CA1BCF"/>
    <w:rsid w:val="00CA4F71"/>
    <w:rsid w:val="00CA5979"/>
    <w:rsid w:val="00CA72F2"/>
    <w:rsid w:val="00CA7860"/>
    <w:rsid w:val="00CB386C"/>
    <w:rsid w:val="00CB56CE"/>
    <w:rsid w:val="00CB747D"/>
    <w:rsid w:val="00CC1480"/>
    <w:rsid w:val="00CD16AA"/>
    <w:rsid w:val="00CD2F39"/>
    <w:rsid w:val="00CD530B"/>
    <w:rsid w:val="00CD653B"/>
    <w:rsid w:val="00CD7620"/>
    <w:rsid w:val="00CE0B44"/>
    <w:rsid w:val="00CE15CE"/>
    <w:rsid w:val="00CE3338"/>
    <w:rsid w:val="00CE7CD0"/>
    <w:rsid w:val="00CF058B"/>
    <w:rsid w:val="00CF0B1F"/>
    <w:rsid w:val="00CF1621"/>
    <w:rsid w:val="00CF168A"/>
    <w:rsid w:val="00CF4935"/>
    <w:rsid w:val="00CF5D02"/>
    <w:rsid w:val="00CF7711"/>
    <w:rsid w:val="00D05510"/>
    <w:rsid w:val="00D05598"/>
    <w:rsid w:val="00D060B2"/>
    <w:rsid w:val="00D0642D"/>
    <w:rsid w:val="00D07924"/>
    <w:rsid w:val="00D10056"/>
    <w:rsid w:val="00D129F2"/>
    <w:rsid w:val="00D13683"/>
    <w:rsid w:val="00D1489F"/>
    <w:rsid w:val="00D14DBE"/>
    <w:rsid w:val="00D16229"/>
    <w:rsid w:val="00D1699F"/>
    <w:rsid w:val="00D1700D"/>
    <w:rsid w:val="00D22748"/>
    <w:rsid w:val="00D22791"/>
    <w:rsid w:val="00D22DDF"/>
    <w:rsid w:val="00D2385E"/>
    <w:rsid w:val="00D2397E"/>
    <w:rsid w:val="00D25688"/>
    <w:rsid w:val="00D26211"/>
    <w:rsid w:val="00D320CE"/>
    <w:rsid w:val="00D36A46"/>
    <w:rsid w:val="00D37C37"/>
    <w:rsid w:val="00D37C91"/>
    <w:rsid w:val="00D428E9"/>
    <w:rsid w:val="00D437A8"/>
    <w:rsid w:val="00D44D87"/>
    <w:rsid w:val="00D45DBF"/>
    <w:rsid w:val="00D468AB"/>
    <w:rsid w:val="00D47FDA"/>
    <w:rsid w:val="00D5004E"/>
    <w:rsid w:val="00D53CE7"/>
    <w:rsid w:val="00D53DD1"/>
    <w:rsid w:val="00D56E5C"/>
    <w:rsid w:val="00D5775D"/>
    <w:rsid w:val="00D61CC5"/>
    <w:rsid w:val="00D65662"/>
    <w:rsid w:val="00D65A7F"/>
    <w:rsid w:val="00D66C0E"/>
    <w:rsid w:val="00D72DEC"/>
    <w:rsid w:val="00D73462"/>
    <w:rsid w:val="00D741B0"/>
    <w:rsid w:val="00D75D2D"/>
    <w:rsid w:val="00D76399"/>
    <w:rsid w:val="00D771B9"/>
    <w:rsid w:val="00D779B2"/>
    <w:rsid w:val="00D77C26"/>
    <w:rsid w:val="00D81E8D"/>
    <w:rsid w:val="00D82101"/>
    <w:rsid w:val="00D834EA"/>
    <w:rsid w:val="00D83782"/>
    <w:rsid w:val="00D85FDA"/>
    <w:rsid w:val="00D8645F"/>
    <w:rsid w:val="00D86858"/>
    <w:rsid w:val="00D871FC"/>
    <w:rsid w:val="00D91AC6"/>
    <w:rsid w:val="00D92A25"/>
    <w:rsid w:val="00D93705"/>
    <w:rsid w:val="00D957A7"/>
    <w:rsid w:val="00D9600F"/>
    <w:rsid w:val="00DA0179"/>
    <w:rsid w:val="00DA46D0"/>
    <w:rsid w:val="00DA51C3"/>
    <w:rsid w:val="00DA5F40"/>
    <w:rsid w:val="00DA67ED"/>
    <w:rsid w:val="00DB2191"/>
    <w:rsid w:val="00DB285B"/>
    <w:rsid w:val="00DB6EFD"/>
    <w:rsid w:val="00DC1CF1"/>
    <w:rsid w:val="00DC2A6C"/>
    <w:rsid w:val="00DC2FDB"/>
    <w:rsid w:val="00DC3827"/>
    <w:rsid w:val="00DC5158"/>
    <w:rsid w:val="00DC527B"/>
    <w:rsid w:val="00DC57CF"/>
    <w:rsid w:val="00DC6088"/>
    <w:rsid w:val="00DC79E5"/>
    <w:rsid w:val="00DD099C"/>
    <w:rsid w:val="00DD21C1"/>
    <w:rsid w:val="00DD2D67"/>
    <w:rsid w:val="00DD2E8E"/>
    <w:rsid w:val="00DD56F9"/>
    <w:rsid w:val="00DD74CA"/>
    <w:rsid w:val="00DE1E1B"/>
    <w:rsid w:val="00DE7BC1"/>
    <w:rsid w:val="00DF0301"/>
    <w:rsid w:val="00DF1EB6"/>
    <w:rsid w:val="00DF3A21"/>
    <w:rsid w:val="00DF5807"/>
    <w:rsid w:val="00DF5C24"/>
    <w:rsid w:val="00DF6A1E"/>
    <w:rsid w:val="00E004F0"/>
    <w:rsid w:val="00E019C6"/>
    <w:rsid w:val="00E01AE5"/>
    <w:rsid w:val="00E01B83"/>
    <w:rsid w:val="00E01FBF"/>
    <w:rsid w:val="00E02189"/>
    <w:rsid w:val="00E02E7D"/>
    <w:rsid w:val="00E040B7"/>
    <w:rsid w:val="00E0491F"/>
    <w:rsid w:val="00E06090"/>
    <w:rsid w:val="00E11E85"/>
    <w:rsid w:val="00E14203"/>
    <w:rsid w:val="00E16C87"/>
    <w:rsid w:val="00E2077D"/>
    <w:rsid w:val="00E20BC0"/>
    <w:rsid w:val="00E225C3"/>
    <w:rsid w:val="00E22B22"/>
    <w:rsid w:val="00E24541"/>
    <w:rsid w:val="00E261ED"/>
    <w:rsid w:val="00E27D29"/>
    <w:rsid w:val="00E27E0B"/>
    <w:rsid w:val="00E30553"/>
    <w:rsid w:val="00E31DB8"/>
    <w:rsid w:val="00E32728"/>
    <w:rsid w:val="00E339AD"/>
    <w:rsid w:val="00E41E7B"/>
    <w:rsid w:val="00E42265"/>
    <w:rsid w:val="00E4259B"/>
    <w:rsid w:val="00E432F5"/>
    <w:rsid w:val="00E44C92"/>
    <w:rsid w:val="00E45D01"/>
    <w:rsid w:val="00E467E7"/>
    <w:rsid w:val="00E46EBF"/>
    <w:rsid w:val="00E47AAF"/>
    <w:rsid w:val="00E47EDD"/>
    <w:rsid w:val="00E55762"/>
    <w:rsid w:val="00E5630E"/>
    <w:rsid w:val="00E60E8C"/>
    <w:rsid w:val="00E6188B"/>
    <w:rsid w:val="00E643F5"/>
    <w:rsid w:val="00E6774A"/>
    <w:rsid w:val="00E67D65"/>
    <w:rsid w:val="00E70428"/>
    <w:rsid w:val="00E725DB"/>
    <w:rsid w:val="00E72C9F"/>
    <w:rsid w:val="00E74224"/>
    <w:rsid w:val="00E75979"/>
    <w:rsid w:val="00E75D5C"/>
    <w:rsid w:val="00E7615E"/>
    <w:rsid w:val="00E76C8C"/>
    <w:rsid w:val="00E802F4"/>
    <w:rsid w:val="00E82337"/>
    <w:rsid w:val="00E83277"/>
    <w:rsid w:val="00E8359D"/>
    <w:rsid w:val="00E84649"/>
    <w:rsid w:val="00E84A47"/>
    <w:rsid w:val="00E850A4"/>
    <w:rsid w:val="00E850A6"/>
    <w:rsid w:val="00E851B4"/>
    <w:rsid w:val="00E86DE9"/>
    <w:rsid w:val="00E916D3"/>
    <w:rsid w:val="00E91DE3"/>
    <w:rsid w:val="00E92953"/>
    <w:rsid w:val="00E967EA"/>
    <w:rsid w:val="00E96CD0"/>
    <w:rsid w:val="00EA1F78"/>
    <w:rsid w:val="00EA2CE0"/>
    <w:rsid w:val="00EA2FAF"/>
    <w:rsid w:val="00EA5687"/>
    <w:rsid w:val="00EA609D"/>
    <w:rsid w:val="00EA6A89"/>
    <w:rsid w:val="00EA7F70"/>
    <w:rsid w:val="00EB11E4"/>
    <w:rsid w:val="00EB2648"/>
    <w:rsid w:val="00EB2BD6"/>
    <w:rsid w:val="00EB3EFA"/>
    <w:rsid w:val="00EB5B62"/>
    <w:rsid w:val="00EB7FCB"/>
    <w:rsid w:val="00EC0918"/>
    <w:rsid w:val="00EC4893"/>
    <w:rsid w:val="00EC5CA6"/>
    <w:rsid w:val="00EC6CF8"/>
    <w:rsid w:val="00EC7222"/>
    <w:rsid w:val="00EC7C62"/>
    <w:rsid w:val="00ED003E"/>
    <w:rsid w:val="00ED217D"/>
    <w:rsid w:val="00ED3E44"/>
    <w:rsid w:val="00EE1F5D"/>
    <w:rsid w:val="00EE2358"/>
    <w:rsid w:val="00EE42B6"/>
    <w:rsid w:val="00EE4A0E"/>
    <w:rsid w:val="00EE7564"/>
    <w:rsid w:val="00EF1613"/>
    <w:rsid w:val="00EF1862"/>
    <w:rsid w:val="00EF2208"/>
    <w:rsid w:val="00EF2FB8"/>
    <w:rsid w:val="00EF4F4F"/>
    <w:rsid w:val="00EF62A4"/>
    <w:rsid w:val="00EF7CE4"/>
    <w:rsid w:val="00F01C3D"/>
    <w:rsid w:val="00F02F56"/>
    <w:rsid w:val="00F1257F"/>
    <w:rsid w:val="00F14296"/>
    <w:rsid w:val="00F15A2F"/>
    <w:rsid w:val="00F16466"/>
    <w:rsid w:val="00F1705D"/>
    <w:rsid w:val="00F1774D"/>
    <w:rsid w:val="00F237C0"/>
    <w:rsid w:val="00F23D3C"/>
    <w:rsid w:val="00F242D3"/>
    <w:rsid w:val="00F24D2B"/>
    <w:rsid w:val="00F265E3"/>
    <w:rsid w:val="00F27437"/>
    <w:rsid w:val="00F278AF"/>
    <w:rsid w:val="00F30DEC"/>
    <w:rsid w:val="00F30FDF"/>
    <w:rsid w:val="00F329D7"/>
    <w:rsid w:val="00F33621"/>
    <w:rsid w:val="00F36737"/>
    <w:rsid w:val="00F37B59"/>
    <w:rsid w:val="00F400CD"/>
    <w:rsid w:val="00F43FCD"/>
    <w:rsid w:val="00F45158"/>
    <w:rsid w:val="00F454D9"/>
    <w:rsid w:val="00F46156"/>
    <w:rsid w:val="00F47534"/>
    <w:rsid w:val="00F47EF5"/>
    <w:rsid w:val="00F501F8"/>
    <w:rsid w:val="00F50A94"/>
    <w:rsid w:val="00F5170F"/>
    <w:rsid w:val="00F53BA3"/>
    <w:rsid w:val="00F55658"/>
    <w:rsid w:val="00F567D7"/>
    <w:rsid w:val="00F6244D"/>
    <w:rsid w:val="00F65ABA"/>
    <w:rsid w:val="00F6702D"/>
    <w:rsid w:val="00F67A6F"/>
    <w:rsid w:val="00F70E9D"/>
    <w:rsid w:val="00F7326A"/>
    <w:rsid w:val="00F73DEC"/>
    <w:rsid w:val="00F743B1"/>
    <w:rsid w:val="00F757CC"/>
    <w:rsid w:val="00F83AEC"/>
    <w:rsid w:val="00F85215"/>
    <w:rsid w:val="00F85641"/>
    <w:rsid w:val="00F85F5B"/>
    <w:rsid w:val="00F86469"/>
    <w:rsid w:val="00F87036"/>
    <w:rsid w:val="00F91707"/>
    <w:rsid w:val="00F91874"/>
    <w:rsid w:val="00F938CC"/>
    <w:rsid w:val="00F96B0B"/>
    <w:rsid w:val="00F96B30"/>
    <w:rsid w:val="00FA02FA"/>
    <w:rsid w:val="00FA1E84"/>
    <w:rsid w:val="00FA1FCA"/>
    <w:rsid w:val="00FA3023"/>
    <w:rsid w:val="00FA4891"/>
    <w:rsid w:val="00FA51EE"/>
    <w:rsid w:val="00FA63C8"/>
    <w:rsid w:val="00FA7A32"/>
    <w:rsid w:val="00FB008C"/>
    <w:rsid w:val="00FB00F0"/>
    <w:rsid w:val="00FB0E9B"/>
    <w:rsid w:val="00FB1542"/>
    <w:rsid w:val="00FB26FF"/>
    <w:rsid w:val="00FB3A91"/>
    <w:rsid w:val="00FB450E"/>
    <w:rsid w:val="00FB71D8"/>
    <w:rsid w:val="00FB7556"/>
    <w:rsid w:val="00FC3391"/>
    <w:rsid w:val="00FC432C"/>
    <w:rsid w:val="00FC4D5A"/>
    <w:rsid w:val="00FC65F4"/>
    <w:rsid w:val="00FD1307"/>
    <w:rsid w:val="00FD21C4"/>
    <w:rsid w:val="00FD2379"/>
    <w:rsid w:val="00FD30EA"/>
    <w:rsid w:val="00FD332C"/>
    <w:rsid w:val="00FD3CC4"/>
    <w:rsid w:val="00FD60AA"/>
    <w:rsid w:val="00FD60CD"/>
    <w:rsid w:val="00FE03D0"/>
    <w:rsid w:val="00FE090F"/>
    <w:rsid w:val="00FE270E"/>
    <w:rsid w:val="00FE576B"/>
    <w:rsid w:val="00FE5A59"/>
    <w:rsid w:val="00FE6148"/>
    <w:rsid w:val="00FE6944"/>
    <w:rsid w:val="00FF0115"/>
    <w:rsid w:val="00FF4071"/>
    <w:rsid w:val="00FF5F2F"/>
    <w:rsid w:val="00FF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20DC"/>
  <w15:docId w15:val="{E40FDC6F-2BC4-4FDB-86C5-62F669FB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F4B"/>
    <w:pPr>
      <w:suppressAutoHyphens/>
      <w:autoSpaceDN w:val="0"/>
      <w:spacing w:after="0" w:line="240" w:lineRule="auto"/>
      <w:textAlignment w:val="baseline"/>
    </w:pPr>
    <w:rPr>
      <w:rFonts w:ascii="Calibri" w:eastAsia="Calibri" w:hAnsi="Calibri" w:cs="Times New Roman"/>
    </w:rPr>
  </w:style>
  <w:style w:type="paragraph" w:styleId="Heading3">
    <w:name w:val="heading 3"/>
    <w:basedOn w:val="Normal"/>
    <w:next w:val="Normal"/>
    <w:link w:val="Heading3Char"/>
    <w:uiPriority w:val="9"/>
    <w:unhideWhenUsed/>
    <w:qFormat/>
    <w:rsid w:val="00161F2F"/>
    <w:pPr>
      <w:keepNext/>
      <w:keepLines/>
      <w:suppressAutoHyphens w:val="0"/>
      <w:autoSpaceDN/>
      <w:spacing w:before="40" w:line="259" w:lineRule="auto"/>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4F77"/>
    <w:pPr>
      <w:keepNext/>
      <w:keepLines/>
      <w:suppressAutoHyphens w:val="0"/>
      <w:autoSpaceDN/>
      <w:spacing w:before="40" w:line="259" w:lineRule="auto"/>
      <w:textAlignment w:val="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3FF"/>
    <w:pPr>
      <w:spacing w:after="0" w:line="240" w:lineRule="auto"/>
    </w:pPr>
  </w:style>
  <w:style w:type="paragraph" w:styleId="BalloonText">
    <w:name w:val="Balloon Text"/>
    <w:basedOn w:val="Normal"/>
    <w:link w:val="BalloonTextChar"/>
    <w:uiPriority w:val="99"/>
    <w:semiHidden/>
    <w:unhideWhenUsed/>
    <w:rsid w:val="004A1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39B"/>
    <w:rPr>
      <w:rFonts w:ascii="Segoe UI" w:eastAsia="Calibri" w:hAnsi="Segoe UI" w:cs="Segoe UI"/>
      <w:sz w:val="18"/>
      <w:szCs w:val="18"/>
    </w:rPr>
  </w:style>
  <w:style w:type="table" w:styleId="TableGrid">
    <w:name w:val="Table Grid"/>
    <w:basedOn w:val="TableNormal"/>
    <w:uiPriority w:val="59"/>
    <w:rsid w:val="00A2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9E"/>
    <w:pPr>
      <w:suppressAutoHyphens w:val="0"/>
      <w:autoSpaceDN/>
      <w:spacing w:after="160" w:line="259" w:lineRule="auto"/>
      <w:ind w:left="720"/>
      <w:contextualSpacing/>
      <w:textAlignment w:val="auto"/>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161F2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7F3C4E"/>
    <w:pPr>
      <w:suppressAutoHyphens w:val="0"/>
      <w:autoSpaceDN/>
      <w:textAlignment w:val="auto"/>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7F3C4E"/>
    <w:rPr>
      <w:rFonts w:ascii="Arial" w:hAnsi="Arial" w:cs="Arial"/>
      <w:sz w:val="20"/>
      <w:szCs w:val="20"/>
    </w:rPr>
  </w:style>
  <w:style w:type="character" w:styleId="FootnoteReference">
    <w:name w:val="footnote reference"/>
    <w:basedOn w:val="DefaultParagraphFont"/>
    <w:uiPriority w:val="99"/>
    <w:semiHidden/>
    <w:unhideWhenUsed/>
    <w:rsid w:val="007F3C4E"/>
    <w:rPr>
      <w:vertAlign w:val="superscript"/>
    </w:rPr>
  </w:style>
  <w:style w:type="paragraph" w:styleId="NormalWeb">
    <w:name w:val="Normal (Web)"/>
    <w:basedOn w:val="Normal"/>
    <w:uiPriority w:val="99"/>
    <w:semiHidden/>
    <w:unhideWhenUsed/>
    <w:rsid w:val="00C54738"/>
    <w:pPr>
      <w:suppressAutoHyphens w:val="0"/>
      <w:autoSpaceDN/>
      <w:textAlignment w:val="auto"/>
    </w:pPr>
    <w:rPr>
      <w:rFonts w:eastAsiaTheme="minorHAnsi" w:cs="Calibri"/>
      <w:lang w:eastAsia="en-GB"/>
    </w:rPr>
  </w:style>
  <w:style w:type="character" w:customStyle="1" w:styleId="Heading4Char">
    <w:name w:val="Heading 4 Char"/>
    <w:basedOn w:val="DefaultParagraphFont"/>
    <w:link w:val="Heading4"/>
    <w:uiPriority w:val="9"/>
    <w:rsid w:val="00304F77"/>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D8645F"/>
    <w:pPr>
      <w:suppressAutoHyphens w:val="0"/>
      <w:autoSpaceDN/>
      <w:textAlignment w:val="auto"/>
    </w:pPr>
    <w:rPr>
      <w:rFonts w:eastAsia="Times New Roman"/>
      <w:szCs w:val="21"/>
    </w:rPr>
  </w:style>
  <w:style w:type="character" w:customStyle="1" w:styleId="PlainTextChar">
    <w:name w:val="Plain Text Char"/>
    <w:basedOn w:val="DefaultParagraphFont"/>
    <w:link w:val="PlainText"/>
    <w:uiPriority w:val="99"/>
    <w:rsid w:val="00D8645F"/>
    <w:rPr>
      <w:rFonts w:ascii="Calibri" w:eastAsia="Times New Roman" w:hAnsi="Calibri" w:cs="Times New Roman"/>
      <w:szCs w:val="21"/>
    </w:rPr>
  </w:style>
  <w:style w:type="paragraph" w:customStyle="1" w:styleId="xmsoplaintext">
    <w:name w:val="x_msoplaintext"/>
    <w:basedOn w:val="Normal"/>
    <w:uiPriority w:val="99"/>
    <w:rsid w:val="00C56348"/>
    <w:pPr>
      <w:suppressAutoHyphens w:val="0"/>
      <w:autoSpaceDN/>
      <w:textAlignment w:val="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844">
      <w:bodyDiv w:val="1"/>
      <w:marLeft w:val="0"/>
      <w:marRight w:val="0"/>
      <w:marTop w:val="0"/>
      <w:marBottom w:val="0"/>
      <w:divBdr>
        <w:top w:val="none" w:sz="0" w:space="0" w:color="auto"/>
        <w:left w:val="none" w:sz="0" w:space="0" w:color="auto"/>
        <w:bottom w:val="none" w:sz="0" w:space="0" w:color="auto"/>
        <w:right w:val="none" w:sz="0" w:space="0" w:color="auto"/>
      </w:divBdr>
    </w:div>
    <w:div w:id="399644483">
      <w:bodyDiv w:val="1"/>
      <w:marLeft w:val="0"/>
      <w:marRight w:val="0"/>
      <w:marTop w:val="0"/>
      <w:marBottom w:val="0"/>
      <w:divBdr>
        <w:top w:val="none" w:sz="0" w:space="0" w:color="auto"/>
        <w:left w:val="none" w:sz="0" w:space="0" w:color="auto"/>
        <w:bottom w:val="none" w:sz="0" w:space="0" w:color="auto"/>
        <w:right w:val="none" w:sz="0" w:space="0" w:color="auto"/>
      </w:divBdr>
    </w:div>
    <w:div w:id="484979941">
      <w:bodyDiv w:val="1"/>
      <w:marLeft w:val="0"/>
      <w:marRight w:val="0"/>
      <w:marTop w:val="0"/>
      <w:marBottom w:val="0"/>
      <w:divBdr>
        <w:top w:val="none" w:sz="0" w:space="0" w:color="auto"/>
        <w:left w:val="none" w:sz="0" w:space="0" w:color="auto"/>
        <w:bottom w:val="none" w:sz="0" w:space="0" w:color="auto"/>
        <w:right w:val="none" w:sz="0" w:space="0" w:color="auto"/>
      </w:divBdr>
    </w:div>
    <w:div w:id="508907670">
      <w:bodyDiv w:val="1"/>
      <w:marLeft w:val="0"/>
      <w:marRight w:val="0"/>
      <w:marTop w:val="0"/>
      <w:marBottom w:val="0"/>
      <w:divBdr>
        <w:top w:val="none" w:sz="0" w:space="0" w:color="auto"/>
        <w:left w:val="none" w:sz="0" w:space="0" w:color="auto"/>
        <w:bottom w:val="none" w:sz="0" w:space="0" w:color="auto"/>
        <w:right w:val="none" w:sz="0" w:space="0" w:color="auto"/>
      </w:divBdr>
    </w:div>
    <w:div w:id="552429037">
      <w:bodyDiv w:val="1"/>
      <w:marLeft w:val="0"/>
      <w:marRight w:val="0"/>
      <w:marTop w:val="0"/>
      <w:marBottom w:val="0"/>
      <w:divBdr>
        <w:top w:val="none" w:sz="0" w:space="0" w:color="auto"/>
        <w:left w:val="none" w:sz="0" w:space="0" w:color="auto"/>
        <w:bottom w:val="none" w:sz="0" w:space="0" w:color="auto"/>
        <w:right w:val="none" w:sz="0" w:space="0" w:color="auto"/>
      </w:divBdr>
    </w:div>
    <w:div w:id="626860182">
      <w:bodyDiv w:val="1"/>
      <w:marLeft w:val="0"/>
      <w:marRight w:val="0"/>
      <w:marTop w:val="0"/>
      <w:marBottom w:val="0"/>
      <w:divBdr>
        <w:top w:val="none" w:sz="0" w:space="0" w:color="auto"/>
        <w:left w:val="none" w:sz="0" w:space="0" w:color="auto"/>
        <w:bottom w:val="none" w:sz="0" w:space="0" w:color="auto"/>
        <w:right w:val="none" w:sz="0" w:space="0" w:color="auto"/>
      </w:divBdr>
    </w:div>
    <w:div w:id="653071138">
      <w:bodyDiv w:val="1"/>
      <w:marLeft w:val="0"/>
      <w:marRight w:val="0"/>
      <w:marTop w:val="0"/>
      <w:marBottom w:val="0"/>
      <w:divBdr>
        <w:top w:val="none" w:sz="0" w:space="0" w:color="auto"/>
        <w:left w:val="none" w:sz="0" w:space="0" w:color="auto"/>
        <w:bottom w:val="none" w:sz="0" w:space="0" w:color="auto"/>
        <w:right w:val="none" w:sz="0" w:space="0" w:color="auto"/>
      </w:divBdr>
    </w:div>
    <w:div w:id="722100343">
      <w:bodyDiv w:val="1"/>
      <w:marLeft w:val="0"/>
      <w:marRight w:val="0"/>
      <w:marTop w:val="0"/>
      <w:marBottom w:val="0"/>
      <w:divBdr>
        <w:top w:val="none" w:sz="0" w:space="0" w:color="auto"/>
        <w:left w:val="none" w:sz="0" w:space="0" w:color="auto"/>
        <w:bottom w:val="none" w:sz="0" w:space="0" w:color="auto"/>
        <w:right w:val="none" w:sz="0" w:space="0" w:color="auto"/>
      </w:divBdr>
    </w:div>
    <w:div w:id="767040989">
      <w:bodyDiv w:val="1"/>
      <w:marLeft w:val="0"/>
      <w:marRight w:val="0"/>
      <w:marTop w:val="0"/>
      <w:marBottom w:val="0"/>
      <w:divBdr>
        <w:top w:val="none" w:sz="0" w:space="0" w:color="auto"/>
        <w:left w:val="none" w:sz="0" w:space="0" w:color="auto"/>
        <w:bottom w:val="none" w:sz="0" w:space="0" w:color="auto"/>
        <w:right w:val="none" w:sz="0" w:space="0" w:color="auto"/>
      </w:divBdr>
    </w:div>
    <w:div w:id="789544097">
      <w:bodyDiv w:val="1"/>
      <w:marLeft w:val="0"/>
      <w:marRight w:val="0"/>
      <w:marTop w:val="0"/>
      <w:marBottom w:val="0"/>
      <w:divBdr>
        <w:top w:val="none" w:sz="0" w:space="0" w:color="auto"/>
        <w:left w:val="none" w:sz="0" w:space="0" w:color="auto"/>
        <w:bottom w:val="none" w:sz="0" w:space="0" w:color="auto"/>
        <w:right w:val="none" w:sz="0" w:space="0" w:color="auto"/>
      </w:divBdr>
    </w:div>
    <w:div w:id="850294615">
      <w:bodyDiv w:val="1"/>
      <w:marLeft w:val="0"/>
      <w:marRight w:val="0"/>
      <w:marTop w:val="0"/>
      <w:marBottom w:val="0"/>
      <w:divBdr>
        <w:top w:val="none" w:sz="0" w:space="0" w:color="auto"/>
        <w:left w:val="none" w:sz="0" w:space="0" w:color="auto"/>
        <w:bottom w:val="none" w:sz="0" w:space="0" w:color="auto"/>
        <w:right w:val="none" w:sz="0" w:space="0" w:color="auto"/>
      </w:divBdr>
    </w:div>
    <w:div w:id="1117064226">
      <w:bodyDiv w:val="1"/>
      <w:marLeft w:val="0"/>
      <w:marRight w:val="0"/>
      <w:marTop w:val="0"/>
      <w:marBottom w:val="0"/>
      <w:divBdr>
        <w:top w:val="none" w:sz="0" w:space="0" w:color="auto"/>
        <w:left w:val="none" w:sz="0" w:space="0" w:color="auto"/>
        <w:bottom w:val="none" w:sz="0" w:space="0" w:color="auto"/>
        <w:right w:val="none" w:sz="0" w:space="0" w:color="auto"/>
      </w:divBdr>
    </w:div>
    <w:div w:id="1382482067">
      <w:bodyDiv w:val="1"/>
      <w:marLeft w:val="0"/>
      <w:marRight w:val="0"/>
      <w:marTop w:val="0"/>
      <w:marBottom w:val="0"/>
      <w:divBdr>
        <w:top w:val="none" w:sz="0" w:space="0" w:color="auto"/>
        <w:left w:val="none" w:sz="0" w:space="0" w:color="auto"/>
        <w:bottom w:val="none" w:sz="0" w:space="0" w:color="auto"/>
        <w:right w:val="none" w:sz="0" w:space="0" w:color="auto"/>
      </w:divBdr>
    </w:div>
    <w:div w:id="1457604911">
      <w:bodyDiv w:val="1"/>
      <w:marLeft w:val="0"/>
      <w:marRight w:val="0"/>
      <w:marTop w:val="0"/>
      <w:marBottom w:val="0"/>
      <w:divBdr>
        <w:top w:val="none" w:sz="0" w:space="0" w:color="auto"/>
        <w:left w:val="none" w:sz="0" w:space="0" w:color="auto"/>
        <w:bottom w:val="none" w:sz="0" w:space="0" w:color="auto"/>
        <w:right w:val="none" w:sz="0" w:space="0" w:color="auto"/>
      </w:divBdr>
    </w:div>
    <w:div w:id="1940793012">
      <w:bodyDiv w:val="1"/>
      <w:marLeft w:val="0"/>
      <w:marRight w:val="0"/>
      <w:marTop w:val="0"/>
      <w:marBottom w:val="0"/>
      <w:divBdr>
        <w:top w:val="none" w:sz="0" w:space="0" w:color="auto"/>
        <w:left w:val="none" w:sz="0" w:space="0" w:color="auto"/>
        <w:bottom w:val="none" w:sz="0" w:space="0" w:color="auto"/>
        <w:right w:val="none" w:sz="0" w:space="0" w:color="auto"/>
      </w:divBdr>
    </w:div>
    <w:div w:id="21161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539E-3A78-4F33-9EA6-3CDEAAFD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13</Pages>
  <Words>3664</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Smith</dc:creator>
  <cp:lastModifiedBy>Robert</cp:lastModifiedBy>
  <cp:revision>821</cp:revision>
  <cp:lastPrinted>2018-03-06T12:24:00Z</cp:lastPrinted>
  <dcterms:created xsi:type="dcterms:W3CDTF">2018-11-09T16:39:00Z</dcterms:created>
  <dcterms:modified xsi:type="dcterms:W3CDTF">2020-03-15T11:50:00Z</dcterms:modified>
</cp:coreProperties>
</file>