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8DBF04" w14:textId="4ADCD844" w:rsidR="00626F4B" w:rsidRDefault="00626F4B" w:rsidP="00626F4B">
      <w:pPr>
        <w:jc w:val="center"/>
        <w:rPr>
          <w:rFonts w:ascii="Verdana" w:hAnsi="Verdana"/>
          <w:b/>
        </w:rPr>
      </w:pPr>
      <w:r>
        <w:rPr>
          <w:rFonts w:ascii="Verdana" w:hAnsi="Verdana"/>
          <w:b/>
        </w:rPr>
        <w:t>CORPORATION OF SIR GEORGE MONOUX COLLEGE</w:t>
      </w:r>
    </w:p>
    <w:p w14:paraId="27E5AECF" w14:textId="77777777" w:rsidR="00626F4B" w:rsidRDefault="00626F4B" w:rsidP="00626F4B">
      <w:pPr>
        <w:jc w:val="center"/>
        <w:rPr>
          <w:rFonts w:ascii="Verdana" w:hAnsi="Verdana"/>
          <w:b/>
        </w:rPr>
      </w:pPr>
    </w:p>
    <w:p w14:paraId="2E803062" w14:textId="3A9772BB" w:rsidR="00626F4B" w:rsidRDefault="00626F4B" w:rsidP="004D37CF">
      <w:pPr>
        <w:jc w:val="center"/>
        <w:rPr>
          <w:rFonts w:ascii="Verdana" w:hAnsi="Verdana"/>
          <w:b/>
        </w:rPr>
      </w:pPr>
      <w:r>
        <w:rPr>
          <w:rFonts w:ascii="Verdana" w:hAnsi="Verdana"/>
          <w:b/>
        </w:rPr>
        <w:t xml:space="preserve">Minutes of the Meeting of the </w:t>
      </w:r>
      <w:r w:rsidR="00AA7B4E">
        <w:rPr>
          <w:rFonts w:ascii="Verdana" w:hAnsi="Verdana"/>
          <w:b/>
        </w:rPr>
        <w:t>External Relations</w:t>
      </w:r>
      <w:r>
        <w:rPr>
          <w:rFonts w:ascii="Verdana" w:hAnsi="Verdana"/>
          <w:b/>
        </w:rPr>
        <w:t xml:space="preserve"> Committee held </w:t>
      </w:r>
      <w:r w:rsidR="004D37CF">
        <w:rPr>
          <w:rFonts w:ascii="Verdana" w:hAnsi="Verdana"/>
          <w:b/>
        </w:rPr>
        <w:t xml:space="preserve">online </w:t>
      </w:r>
      <w:r>
        <w:rPr>
          <w:rFonts w:ascii="Verdana" w:hAnsi="Verdana"/>
          <w:b/>
        </w:rPr>
        <w:t xml:space="preserve">on </w:t>
      </w:r>
      <w:r w:rsidR="00953ACF">
        <w:rPr>
          <w:rFonts w:ascii="Verdana" w:hAnsi="Verdana"/>
          <w:b/>
        </w:rPr>
        <w:t>1 June</w:t>
      </w:r>
      <w:r w:rsidR="00F454D9">
        <w:rPr>
          <w:rFonts w:ascii="Verdana" w:hAnsi="Verdana"/>
          <w:b/>
        </w:rPr>
        <w:t xml:space="preserve"> 2020</w:t>
      </w:r>
    </w:p>
    <w:p w14:paraId="524FC9FB" w14:textId="77777777" w:rsidR="00F454D9" w:rsidRDefault="00F454D9" w:rsidP="00626F4B">
      <w:pPr>
        <w:jc w:val="center"/>
        <w:rPr>
          <w:rFonts w:ascii="Verdana" w:hAnsi="Verdana"/>
          <w:b/>
        </w:rPr>
      </w:pPr>
    </w:p>
    <w:tbl>
      <w:tblPr>
        <w:tblW w:w="9464" w:type="dxa"/>
        <w:tblCellMar>
          <w:left w:w="10" w:type="dxa"/>
          <w:right w:w="10" w:type="dxa"/>
        </w:tblCellMar>
        <w:tblLook w:val="0000" w:firstRow="0" w:lastRow="0" w:firstColumn="0" w:lastColumn="0" w:noHBand="0" w:noVBand="0"/>
      </w:tblPr>
      <w:tblGrid>
        <w:gridCol w:w="2376"/>
        <w:gridCol w:w="7088"/>
      </w:tblGrid>
      <w:tr w:rsidR="00626F4B" w14:paraId="3029CBF4" w14:textId="77777777" w:rsidTr="00EF4D29">
        <w:tc>
          <w:tcPr>
            <w:tcW w:w="2376" w:type="dxa"/>
            <w:shd w:val="clear" w:color="auto" w:fill="auto"/>
            <w:tcMar>
              <w:top w:w="0" w:type="dxa"/>
              <w:left w:w="108" w:type="dxa"/>
              <w:bottom w:w="0" w:type="dxa"/>
              <w:right w:w="108" w:type="dxa"/>
            </w:tcMar>
          </w:tcPr>
          <w:p w14:paraId="06CCE836" w14:textId="77777777" w:rsidR="00626F4B" w:rsidRDefault="00626F4B" w:rsidP="005363B3">
            <w:pPr>
              <w:tabs>
                <w:tab w:val="left" w:pos="1455"/>
              </w:tabs>
              <w:rPr>
                <w:rFonts w:ascii="Verdana" w:hAnsi="Verdana"/>
                <w:b/>
              </w:rPr>
            </w:pPr>
            <w:r>
              <w:rPr>
                <w:rFonts w:ascii="Verdana" w:hAnsi="Verdana"/>
                <w:b/>
              </w:rPr>
              <w:t>Present</w:t>
            </w:r>
            <w:r>
              <w:rPr>
                <w:rFonts w:ascii="Verdana" w:hAnsi="Verdana"/>
                <w:b/>
              </w:rPr>
              <w:tab/>
            </w:r>
          </w:p>
          <w:p w14:paraId="7DF51377" w14:textId="77777777" w:rsidR="00626F4B" w:rsidRDefault="00626F4B" w:rsidP="005363B3">
            <w:pPr>
              <w:rPr>
                <w:rFonts w:ascii="Verdana" w:hAnsi="Verdana"/>
                <w:b/>
              </w:rPr>
            </w:pPr>
          </w:p>
        </w:tc>
        <w:tc>
          <w:tcPr>
            <w:tcW w:w="7088" w:type="dxa"/>
            <w:shd w:val="clear" w:color="auto" w:fill="auto"/>
            <w:tcMar>
              <w:top w:w="0" w:type="dxa"/>
              <w:left w:w="108" w:type="dxa"/>
              <w:bottom w:w="0" w:type="dxa"/>
              <w:right w:w="108" w:type="dxa"/>
            </w:tcMar>
          </w:tcPr>
          <w:p w14:paraId="3DF8B0BF" w14:textId="52424330" w:rsidR="00626F4B" w:rsidRPr="00543365" w:rsidRDefault="00532D61" w:rsidP="005363B3">
            <w:pPr>
              <w:rPr>
                <w:rFonts w:ascii="Verdana" w:hAnsi="Verdana"/>
              </w:rPr>
            </w:pPr>
            <w:r w:rsidRPr="00543365">
              <w:rPr>
                <w:rFonts w:ascii="Verdana" w:hAnsi="Verdana"/>
              </w:rPr>
              <w:t>Stewart Maclean</w:t>
            </w:r>
            <w:r w:rsidR="00626F4B" w:rsidRPr="00543365">
              <w:rPr>
                <w:rFonts w:ascii="Verdana" w:hAnsi="Verdana"/>
              </w:rPr>
              <w:t xml:space="preserve"> (Chair), </w:t>
            </w:r>
            <w:r w:rsidR="00416D54" w:rsidRPr="00543365">
              <w:rPr>
                <w:rFonts w:ascii="Verdana" w:hAnsi="Verdana"/>
              </w:rPr>
              <w:t xml:space="preserve">Talia Chirouf, </w:t>
            </w:r>
            <w:r w:rsidR="008345F2" w:rsidRPr="00543365">
              <w:rPr>
                <w:rFonts w:ascii="Verdana" w:hAnsi="Verdana"/>
              </w:rPr>
              <w:t xml:space="preserve">Tom </w:t>
            </w:r>
            <w:proofErr w:type="spellStart"/>
            <w:r w:rsidR="008345F2" w:rsidRPr="00543365">
              <w:rPr>
                <w:rFonts w:ascii="Verdana" w:hAnsi="Verdana"/>
              </w:rPr>
              <w:t>Foakes</w:t>
            </w:r>
            <w:proofErr w:type="spellEnd"/>
            <w:r w:rsidR="008345F2" w:rsidRPr="00543365">
              <w:rPr>
                <w:rFonts w:ascii="Verdana" w:hAnsi="Verdana"/>
              </w:rPr>
              <w:t xml:space="preserve">, </w:t>
            </w:r>
            <w:r w:rsidR="002E7806">
              <w:rPr>
                <w:rFonts w:ascii="Verdana" w:hAnsi="Verdana"/>
              </w:rPr>
              <w:t xml:space="preserve">Farhana Juhera, </w:t>
            </w:r>
            <w:r w:rsidR="00E0491F" w:rsidRPr="00543365">
              <w:rPr>
                <w:rFonts w:ascii="Verdana" w:hAnsi="Verdana"/>
              </w:rPr>
              <w:t>Maurine Lewin, Dav</w:t>
            </w:r>
            <w:r w:rsidR="00AB1F20" w:rsidRPr="00543365">
              <w:rPr>
                <w:rFonts w:ascii="Verdana" w:hAnsi="Verdana"/>
              </w:rPr>
              <w:t xml:space="preserve">id </w:t>
            </w:r>
            <w:proofErr w:type="spellStart"/>
            <w:r w:rsidR="00AB1F20" w:rsidRPr="00543365">
              <w:rPr>
                <w:rFonts w:ascii="Verdana" w:hAnsi="Verdana"/>
              </w:rPr>
              <w:t>Vasse</w:t>
            </w:r>
            <w:proofErr w:type="spellEnd"/>
            <w:r w:rsidR="00626F4B" w:rsidRPr="00543365">
              <w:rPr>
                <w:rFonts w:ascii="Verdana" w:hAnsi="Verdana"/>
              </w:rPr>
              <w:t xml:space="preserve">. </w:t>
            </w:r>
          </w:p>
          <w:p w14:paraId="08A15440" w14:textId="77777777" w:rsidR="00626F4B" w:rsidRDefault="00626F4B" w:rsidP="005363B3">
            <w:pPr>
              <w:rPr>
                <w:rFonts w:ascii="Verdana" w:hAnsi="Verdana"/>
              </w:rPr>
            </w:pPr>
          </w:p>
        </w:tc>
      </w:tr>
      <w:tr w:rsidR="00626F4B" w14:paraId="11C5FDBC" w14:textId="77777777" w:rsidTr="00EF4D29">
        <w:tc>
          <w:tcPr>
            <w:tcW w:w="2376" w:type="dxa"/>
            <w:shd w:val="clear" w:color="auto" w:fill="auto"/>
            <w:tcMar>
              <w:top w:w="0" w:type="dxa"/>
              <w:left w:w="108" w:type="dxa"/>
              <w:bottom w:w="0" w:type="dxa"/>
              <w:right w:w="108" w:type="dxa"/>
            </w:tcMar>
          </w:tcPr>
          <w:p w14:paraId="4E822C07" w14:textId="2D55B9DB" w:rsidR="00626F4B" w:rsidRDefault="00413682" w:rsidP="005363B3">
            <w:pPr>
              <w:rPr>
                <w:rFonts w:ascii="Verdana" w:hAnsi="Verdana"/>
                <w:b/>
              </w:rPr>
            </w:pPr>
            <w:r>
              <w:rPr>
                <w:rFonts w:ascii="Verdana" w:hAnsi="Verdana"/>
                <w:b/>
              </w:rPr>
              <w:t>In Attendance</w:t>
            </w:r>
          </w:p>
        </w:tc>
        <w:tc>
          <w:tcPr>
            <w:tcW w:w="7088" w:type="dxa"/>
            <w:shd w:val="clear" w:color="auto" w:fill="auto"/>
            <w:tcMar>
              <w:top w:w="0" w:type="dxa"/>
              <w:left w:w="108" w:type="dxa"/>
              <w:bottom w:w="0" w:type="dxa"/>
              <w:right w:w="108" w:type="dxa"/>
            </w:tcMar>
          </w:tcPr>
          <w:p w14:paraId="72DFE0F5" w14:textId="1D5D8BC7" w:rsidR="00626F4B" w:rsidRDefault="008C2D18" w:rsidP="005363B3">
            <w:pPr>
              <w:rPr>
                <w:rFonts w:ascii="Verdana" w:hAnsi="Verdana"/>
              </w:rPr>
            </w:pPr>
            <w:r>
              <w:rPr>
                <w:rFonts w:ascii="Verdana" w:hAnsi="Verdana"/>
              </w:rPr>
              <w:t>James Gould (Vice</w:t>
            </w:r>
            <w:r w:rsidR="00651D04">
              <w:rPr>
                <w:rFonts w:ascii="Verdana" w:hAnsi="Verdana"/>
              </w:rPr>
              <w:t>-</w:t>
            </w:r>
            <w:r>
              <w:rPr>
                <w:rFonts w:ascii="Verdana" w:hAnsi="Verdana"/>
              </w:rPr>
              <w:t xml:space="preserve">Principal: </w:t>
            </w:r>
            <w:r w:rsidRPr="00FE7EDC">
              <w:rPr>
                <w:rFonts w:ascii="Verdana" w:hAnsi="Verdana"/>
              </w:rPr>
              <w:t>Student S</w:t>
            </w:r>
            <w:r>
              <w:rPr>
                <w:rFonts w:ascii="Verdana" w:hAnsi="Verdana"/>
              </w:rPr>
              <w:t>ervices and Recruitment</w:t>
            </w:r>
            <w:r w:rsidR="00626F4B">
              <w:rPr>
                <w:rFonts w:ascii="Verdana" w:hAnsi="Verdana"/>
              </w:rPr>
              <w:t>)</w:t>
            </w:r>
            <w:r w:rsidR="00953ACF">
              <w:rPr>
                <w:rFonts w:ascii="Verdana" w:hAnsi="Verdana"/>
              </w:rPr>
              <w:t>, Robert Smith (Clerk to the Corporation).</w:t>
            </w:r>
          </w:p>
        </w:tc>
      </w:tr>
    </w:tbl>
    <w:p w14:paraId="73A3C9F8" w14:textId="77777777" w:rsidR="00626F4B" w:rsidRDefault="00626F4B" w:rsidP="00626F4B">
      <w:pPr>
        <w:rPr>
          <w:rFonts w:ascii="Verdana" w:hAnsi="Verdana"/>
          <w: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529"/>
        <w:gridCol w:w="8935"/>
      </w:tblGrid>
      <w:tr w:rsidR="00626F4B" w14:paraId="64A738ED" w14:textId="77777777" w:rsidTr="00EF4D29">
        <w:tc>
          <w:tcPr>
            <w:tcW w:w="529" w:type="dxa"/>
            <w:tcBorders>
              <w:top w:val="nil"/>
              <w:left w:val="nil"/>
              <w:bottom w:val="nil"/>
              <w:right w:val="nil"/>
            </w:tcBorders>
            <w:shd w:val="clear" w:color="auto" w:fill="auto"/>
            <w:tcMar>
              <w:top w:w="0" w:type="dxa"/>
              <w:left w:w="108" w:type="dxa"/>
              <w:bottom w:w="0" w:type="dxa"/>
              <w:right w:w="108" w:type="dxa"/>
            </w:tcMar>
          </w:tcPr>
          <w:p w14:paraId="6D882388" w14:textId="77777777" w:rsidR="00626F4B" w:rsidRDefault="00626F4B" w:rsidP="005363B3">
            <w:pPr>
              <w:pStyle w:val="NoSpacing"/>
              <w:rPr>
                <w:b/>
              </w:rPr>
            </w:pPr>
            <w:r>
              <w:rPr>
                <w:b/>
              </w:rPr>
              <w:t>1</w:t>
            </w:r>
          </w:p>
          <w:p w14:paraId="1AC7FCBD" w14:textId="77777777" w:rsidR="00626F4B" w:rsidRDefault="00626F4B" w:rsidP="005363B3">
            <w:pPr>
              <w:pStyle w:val="NoSpacing"/>
              <w:rPr>
                <w:b/>
              </w:rPr>
            </w:pPr>
          </w:p>
          <w:p w14:paraId="05379A88" w14:textId="77777777" w:rsidR="00626F4B" w:rsidRDefault="00626F4B" w:rsidP="005363B3">
            <w:pPr>
              <w:pStyle w:val="NoSpacing"/>
              <w:rPr>
                <w:b/>
              </w:rPr>
            </w:pPr>
          </w:p>
        </w:tc>
        <w:tc>
          <w:tcPr>
            <w:tcW w:w="8935" w:type="dxa"/>
            <w:tcBorders>
              <w:top w:val="nil"/>
              <w:left w:val="nil"/>
              <w:bottom w:val="nil"/>
              <w:right w:val="nil"/>
            </w:tcBorders>
            <w:shd w:val="clear" w:color="auto" w:fill="auto"/>
            <w:tcMar>
              <w:top w:w="0" w:type="dxa"/>
              <w:left w:w="108" w:type="dxa"/>
              <w:bottom w:w="0" w:type="dxa"/>
              <w:right w:w="108" w:type="dxa"/>
            </w:tcMar>
          </w:tcPr>
          <w:p w14:paraId="41300BE7" w14:textId="1B559461" w:rsidR="00626F4B" w:rsidRDefault="00626F4B" w:rsidP="005363B3">
            <w:pPr>
              <w:pStyle w:val="NoSpacing"/>
              <w:rPr>
                <w:b/>
              </w:rPr>
            </w:pPr>
            <w:r>
              <w:rPr>
                <w:b/>
              </w:rPr>
              <w:t>Apologies for Absence</w:t>
            </w:r>
            <w:r w:rsidR="005D35E5">
              <w:rPr>
                <w:b/>
              </w:rPr>
              <w:t xml:space="preserve"> </w:t>
            </w:r>
            <w:r w:rsidR="00E261ED">
              <w:rPr>
                <w:b/>
              </w:rPr>
              <w:t>&amp; Quoracy</w:t>
            </w:r>
          </w:p>
          <w:p w14:paraId="6B45751B" w14:textId="77777777" w:rsidR="00626F4B" w:rsidRDefault="00626F4B" w:rsidP="005363B3">
            <w:pPr>
              <w:pStyle w:val="NoSpacing"/>
            </w:pPr>
          </w:p>
          <w:p w14:paraId="77DA966F" w14:textId="2F933495" w:rsidR="00ED217D" w:rsidRDefault="001B0590" w:rsidP="005363B3">
            <w:pPr>
              <w:pStyle w:val="NoSpacing"/>
            </w:pPr>
            <w:r>
              <w:t>All members were present.</w:t>
            </w:r>
          </w:p>
          <w:p w14:paraId="42BCEB9A" w14:textId="77777777" w:rsidR="00626F4B" w:rsidRDefault="00626F4B" w:rsidP="00953ACF">
            <w:pPr>
              <w:pStyle w:val="NoSpacing"/>
            </w:pPr>
          </w:p>
        </w:tc>
      </w:tr>
      <w:tr w:rsidR="00626F4B" w14:paraId="04C558D7" w14:textId="77777777" w:rsidTr="00EF4D29">
        <w:tc>
          <w:tcPr>
            <w:tcW w:w="529" w:type="dxa"/>
            <w:tcBorders>
              <w:top w:val="nil"/>
              <w:left w:val="nil"/>
              <w:bottom w:val="nil"/>
              <w:right w:val="nil"/>
            </w:tcBorders>
            <w:shd w:val="clear" w:color="auto" w:fill="auto"/>
            <w:tcMar>
              <w:top w:w="0" w:type="dxa"/>
              <w:left w:w="108" w:type="dxa"/>
              <w:bottom w:w="0" w:type="dxa"/>
              <w:right w:w="108" w:type="dxa"/>
            </w:tcMar>
          </w:tcPr>
          <w:p w14:paraId="7E3FCEF6" w14:textId="77777777" w:rsidR="00626F4B" w:rsidRDefault="00626F4B" w:rsidP="005363B3">
            <w:pPr>
              <w:pStyle w:val="NoSpacing"/>
              <w:rPr>
                <w:b/>
              </w:rPr>
            </w:pPr>
            <w:r>
              <w:rPr>
                <w:b/>
              </w:rPr>
              <w:t>2</w:t>
            </w:r>
          </w:p>
        </w:tc>
        <w:tc>
          <w:tcPr>
            <w:tcW w:w="8935" w:type="dxa"/>
            <w:tcBorders>
              <w:top w:val="nil"/>
              <w:left w:val="nil"/>
              <w:bottom w:val="nil"/>
              <w:right w:val="nil"/>
            </w:tcBorders>
            <w:shd w:val="clear" w:color="auto" w:fill="auto"/>
            <w:tcMar>
              <w:top w:w="0" w:type="dxa"/>
              <w:left w:w="108" w:type="dxa"/>
              <w:bottom w:w="0" w:type="dxa"/>
              <w:right w:w="108" w:type="dxa"/>
            </w:tcMar>
          </w:tcPr>
          <w:p w14:paraId="70F39EA9" w14:textId="77777777" w:rsidR="00626F4B" w:rsidRDefault="00626F4B" w:rsidP="005363B3">
            <w:pPr>
              <w:pStyle w:val="NoSpacing"/>
              <w:rPr>
                <w:b/>
              </w:rPr>
            </w:pPr>
            <w:r>
              <w:rPr>
                <w:b/>
              </w:rPr>
              <w:t>Declarations of Interest</w:t>
            </w:r>
          </w:p>
          <w:p w14:paraId="4D1ABDCB" w14:textId="77777777" w:rsidR="00626F4B" w:rsidRDefault="00626F4B" w:rsidP="005363B3">
            <w:pPr>
              <w:pStyle w:val="NoSpacing"/>
            </w:pPr>
          </w:p>
          <w:p w14:paraId="15EFED17" w14:textId="77777777" w:rsidR="00626F4B" w:rsidRDefault="00626F4B" w:rsidP="005363B3">
            <w:pPr>
              <w:pStyle w:val="NoSpacing"/>
            </w:pPr>
            <w:r>
              <w:t>None.</w:t>
            </w:r>
          </w:p>
          <w:p w14:paraId="306744C0" w14:textId="77777777" w:rsidR="00626F4B" w:rsidRDefault="00626F4B" w:rsidP="005363B3">
            <w:pPr>
              <w:pStyle w:val="NoSpacing"/>
            </w:pPr>
          </w:p>
        </w:tc>
      </w:tr>
      <w:tr w:rsidR="00504FAF" w14:paraId="4300FB80" w14:textId="77777777" w:rsidTr="00EF4D29">
        <w:tc>
          <w:tcPr>
            <w:tcW w:w="529" w:type="dxa"/>
            <w:tcBorders>
              <w:top w:val="nil"/>
              <w:left w:val="nil"/>
              <w:bottom w:val="nil"/>
              <w:right w:val="nil"/>
            </w:tcBorders>
            <w:shd w:val="clear" w:color="auto" w:fill="auto"/>
            <w:tcMar>
              <w:top w:w="0" w:type="dxa"/>
              <w:left w:w="108" w:type="dxa"/>
              <w:bottom w:w="0" w:type="dxa"/>
              <w:right w:w="108" w:type="dxa"/>
            </w:tcMar>
          </w:tcPr>
          <w:p w14:paraId="16021741" w14:textId="52B0F006" w:rsidR="00504FAF" w:rsidRDefault="00504FAF" w:rsidP="005363B3">
            <w:pPr>
              <w:pStyle w:val="NoSpacing"/>
              <w:rPr>
                <w:b/>
              </w:rPr>
            </w:pPr>
            <w:r>
              <w:rPr>
                <w:b/>
              </w:rPr>
              <w:t>3</w:t>
            </w:r>
          </w:p>
        </w:tc>
        <w:tc>
          <w:tcPr>
            <w:tcW w:w="8935" w:type="dxa"/>
            <w:tcBorders>
              <w:top w:val="nil"/>
              <w:left w:val="nil"/>
              <w:bottom w:val="nil"/>
              <w:right w:val="nil"/>
            </w:tcBorders>
            <w:shd w:val="clear" w:color="auto" w:fill="auto"/>
            <w:tcMar>
              <w:top w:w="0" w:type="dxa"/>
              <w:left w:w="108" w:type="dxa"/>
              <w:bottom w:w="0" w:type="dxa"/>
              <w:right w:w="108" w:type="dxa"/>
            </w:tcMar>
          </w:tcPr>
          <w:p w14:paraId="2FFCCB25" w14:textId="77777777" w:rsidR="00953ACF" w:rsidRDefault="007F3FF7" w:rsidP="00953ACF">
            <w:pPr>
              <w:rPr>
                <w:rFonts w:ascii="Verdana" w:hAnsi="Verdana"/>
                <w:b/>
              </w:rPr>
            </w:pPr>
            <w:r w:rsidRPr="00FE6148">
              <w:rPr>
                <w:rFonts w:ascii="Verdana" w:hAnsi="Verdana"/>
                <w:b/>
              </w:rPr>
              <w:t xml:space="preserve">Draft Minutes of the Previous Meeting (Ordinary Business): </w:t>
            </w:r>
            <w:r w:rsidR="00953ACF">
              <w:rPr>
                <w:rFonts w:ascii="Verdana" w:hAnsi="Verdana"/>
                <w:b/>
              </w:rPr>
              <w:t>3 March 2020</w:t>
            </w:r>
          </w:p>
          <w:p w14:paraId="491B33EE" w14:textId="100A2615" w:rsidR="00504FAF" w:rsidRDefault="00504FAF" w:rsidP="005363B3">
            <w:pPr>
              <w:pStyle w:val="NoSpacing"/>
              <w:rPr>
                <w:b/>
              </w:rPr>
            </w:pPr>
          </w:p>
          <w:p w14:paraId="7FD7BD9F" w14:textId="77777777" w:rsidR="00816A70" w:rsidRPr="00CA1B35" w:rsidRDefault="00816A70" w:rsidP="00816A70">
            <w:pPr>
              <w:rPr>
                <w:rFonts w:ascii="Verdana" w:hAnsi="Verdana"/>
              </w:rPr>
            </w:pPr>
            <w:r>
              <w:rPr>
                <w:rFonts w:ascii="Verdana" w:hAnsi="Verdana"/>
              </w:rPr>
              <w:t>It was</w:t>
            </w:r>
            <w:r w:rsidRPr="00CA1B35">
              <w:rPr>
                <w:rFonts w:ascii="Verdana" w:hAnsi="Verdana"/>
              </w:rPr>
              <w:t xml:space="preserve"> note</w:t>
            </w:r>
            <w:r>
              <w:rPr>
                <w:rFonts w:ascii="Verdana" w:hAnsi="Verdana"/>
              </w:rPr>
              <w:t>d that the draft minutes had been approved</w:t>
            </w:r>
            <w:r w:rsidRPr="00CA1B35">
              <w:rPr>
                <w:rFonts w:ascii="Verdana" w:hAnsi="Verdana"/>
              </w:rPr>
              <w:t xml:space="preserve"> by the Chair of the Co</w:t>
            </w:r>
            <w:r>
              <w:rPr>
                <w:rFonts w:ascii="Verdana" w:hAnsi="Verdana"/>
              </w:rPr>
              <w:t>mmittee</w:t>
            </w:r>
            <w:r w:rsidRPr="00CA1B35">
              <w:rPr>
                <w:rFonts w:ascii="Verdana" w:hAnsi="Verdana"/>
              </w:rPr>
              <w:t xml:space="preserve"> for circulation.</w:t>
            </w:r>
          </w:p>
          <w:p w14:paraId="12926E48" w14:textId="77777777" w:rsidR="00816A70" w:rsidRDefault="00816A70" w:rsidP="00816A70">
            <w:pPr>
              <w:pStyle w:val="NoSpacing"/>
            </w:pPr>
          </w:p>
          <w:p w14:paraId="169D7AD4" w14:textId="4EBF9521" w:rsidR="00816A70" w:rsidRDefault="00816A70" w:rsidP="00816A70">
            <w:pPr>
              <w:pStyle w:val="NoSpacing"/>
            </w:pPr>
            <w:r w:rsidRPr="008D40C1">
              <w:t xml:space="preserve">The minutes were approved as a correct record of the business transacted, and </w:t>
            </w:r>
            <w:r w:rsidRPr="00B152B1">
              <w:rPr>
                <w:i/>
              </w:rPr>
              <w:t>prima facie</w:t>
            </w:r>
            <w:r w:rsidRPr="008D40C1">
              <w:t xml:space="preserve"> evidence of the proceedings to which they relate</w:t>
            </w:r>
            <w:r w:rsidR="00DA51C3">
              <w:t>.</w:t>
            </w:r>
          </w:p>
          <w:p w14:paraId="6942CEB6" w14:textId="610CF4E1" w:rsidR="0081701D" w:rsidRDefault="0081701D" w:rsidP="005363B3">
            <w:pPr>
              <w:pStyle w:val="NoSpacing"/>
              <w:rPr>
                <w:b/>
              </w:rPr>
            </w:pPr>
          </w:p>
        </w:tc>
      </w:tr>
      <w:tr w:rsidR="00504FAF" w14:paraId="0E57A065" w14:textId="77777777" w:rsidTr="00EF4D29">
        <w:tc>
          <w:tcPr>
            <w:tcW w:w="529" w:type="dxa"/>
            <w:tcBorders>
              <w:top w:val="nil"/>
              <w:left w:val="nil"/>
              <w:bottom w:val="nil"/>
              <w:right w:val="nil"/>
            </w:tcBorders>
            <w:shd w:val="clear" w:color="auto" w:fill="auto"/>
            <w:tcMar>
              <w:top w:w="0" w:type="dxa"/>
              <w:left w:w="108" w:type="dxa"/>
              <w:bottom w:w="0" w:type="dxa"/>
              <w:right w:w="108" w:type="dxa"/>
            </w:tcMar>
          </w:tcPr>
          <w:p w14:paraId="17BD401C" w14:textId="68F4EBE5" w:rsidR="00504FAF" w:rsidRDefault="00504FAF" w:rsidP="005363B3">
            <w:pPr>
              <w:pStyle w:val="NoSpacing"/>
              <w:rPr>
                <w:b/>
              </w:rPr>
            </w:pPr>
            <w:r>
              <w:rPr>
                <w:b/>
              </w:rPr>
              <w:t>4</w:t>
            </w:r>
          </w:p>
        </w:tc>
        <w:tc>
          <w:tcPr>
            <w:tcW w:w="8935" w:type="dxa"/>
            <w:tcBorders>
              <w:top w:val="nil"/>
              <w:left w:val="nil"/>
              <w:bottom w:val="nil"/>
              <w:right w:val="nil"/>
            </w:tcBorders>
            <w:shd w:val="clear" w:color="auto" w:fill="auto"/>
            <w:tcMar>
              <w:top w:w="0" w:type="dxa"/>
              <w:left w:w="108" w:type="dxa"/>
              <w:bottom w:w="0" w:type="dxa"/>
              <w:right w:w="108" w:type="dxa"/>
            </w:tcMar>
          </w:tcPr>
          <w:p w14:paraId="594BF634" w14:textId="77777777" w:rsidR="00953ACF" w:rsidRDefault="0081701D" w:rsidP="00953ACF">
            <w:pPr>
              <w:rPr>
                <w:rFonts w:ascii="Verdana" w:hAnsi="Verdana"/>
                <w:b/>
              </w:rPr>
            </w:pPr>
            <w:r w:rsidRPr="00FE6148">
              <w:rPr>
                <w:rFonts w:ascii="Verdana" w:hAnsi="Verdana"/>
                <w:b/>
              </w:rPr>
              <w:t xml:space="preserve">Matters Arising from the Draft Minutes (Ordinary Business): </w:t>
            </w:r>
            <w:r w:rsidR="00953ACF">
              <w:rPr>
                <w:rFonts w:ascii="Verdana" w:hAnsi="Verdana"/>
                <w:b/>
              </w:rPr>
              <w:t>3 March 2020</w:t>
            </w:r>
          </w:p>
          <w:p w14:paraId="637818DC" w14:textId="52311B4E" w:rsidR="00903D20" w:rsidRDefault="00903D20" w:rsidP="00A610AD">
            <w:pPr>
              <w:pStyle w:val="NormalWeb"/>
            </w:pPr>
          </w:p>
          <w:p w14:paraId="0554AEBD" w14:textId="77777777" w:rsidR="00A610AD" w:rsidRPr="00A610AD" w:rsidRDefault="00A610AD" w:rsidP="00A610AD">
            <w:pPr>
              <w:pStyle w:val="NormalWeb"/>
              <w:rPr>
                <w:rFonts w:ascii="Verdana" w:hAnsi="Verdana"/>
              </w:rPr>
            </w:pPr>
            <w:r w:rsidRPr="00A610AD">
              <w:rPr>
                <w:rFonts w:ascii="Verdana" w:hAnsi="Verdana"/>
              </w:rPr>
              <w:t>None.</w:t>
            </w:r>
          </w:p>
          <w:p w14:paraId="52512725" w14:textId="4F337D24" w:rsidR="00A610AD" w:rsidRPr="00816A70" w:rsidRDefault="00A610AD" w:rsidP="00A610AD">
            <w:pPr>
              <w:pStyle w:val="NormalWeb"/>
            </w:pPr>
          </w:p>
        </w:tc>
      </w:tr>
      <w:tr w:rsidR="002E7806" w:rsidRPr="005D6214" w14:paraId="094DBA0D" w14:textId="77777777" w:rsidTr="00EF4D29">
        <w:tc>
          <w:tcPr>
            <w:tcW w:w="529" w:type="dxa"/>
            <w:tcBorders>
              <w:top w:val="nil"/>
              <w:left w:val="nil"/>
              <w:bottom w:val="nil"/>
              <w:right w:val="nil"/>
            </w:tcBorders>
            <w:shd w:val="clear" w:color="auto" w:fill="auto"/>
            <w:tcMar>
              <w:top w:w="0" w:type="dxa"/>
              <w:left w:w="108" w:type="dxa"/>
              <w:bottom w:w="0" w:type="dxa"/>
              <w:right w:w="108" w:type="dxa"/>
            </w:tcMar>
          </w:tcPr>
          <w:p w14:paraId="74FFCF5A" w14:textId="05E7337B" w:rsidR="002E7806" w:rsidRDefault="002E7806" w:rsidP="005363B3">
            <w:pPr>
              <w:pStyle w:val="NoSpacing"/>
              <w:rPr>
                <w:b/>
              </w:rPr>
            </w:pPr>
            <w:r>
              <w:rPr>
                <w:b/>
              </w:rPr>
              <w:t>5</w:t>
            </w:r>
          </w:p>
        </w:tc>
        <w:tc>
          <w:tcPr>
            <w:tcW w:w="8935" w:type="dxa"/>
            <w:tcBorders>
              <w:top w:val="nil"/>
              <w:left w:val="nil"/>
              <w:bottom w:val="nil"/>
              <w:right w:val="nil"/>
            </w:tcBorders>
            <w:shd w:val="clear" w:color="auto" w:fill="auto"/>
            <w:tcMar>
              <w:top w:w="0" w:type="dxa"/>
              <w:left w:w="108" w:type="dxa"/>
              <w:bottom w:w="0" w:type="dxa"/>
              <w:right w:w="108" w:type="dxa"/>
            </w:tcMar>
          </w:tcPr>
          <w:p w14:paraId="4000B52A" w14:textId="77777777" w:rsidR="002E7806" w:rsidRDefault="002E7806" w:rsidP="002E7806">
            <w:pPr>
              <w:rPr>
                <w:rFonts w:ascii="Verdana" w:hAnsi="Verdana"/>
                <w:b/>
              </w:rPr>
            </w:pPr>
            <w:r>
              <w:rPr>
                <w:rFonts w:ascii="Verdana" w:hAnsi="Verdana"/>
                <w:b/>
              </w:rPr>
              <w:t>Risk Management Report</w:t>
            </w:r>
          </w:p>
          <w:p w14:paraId="7DABBECE" w14:textId="77777777" w:rsidR="002E7806" w:rsidRDefault="002E7806" w:rsidP="003C03CB">
            <w:pPr>
              <w:rPr>
                <w:rFonts w:ascii="Verdana" w:hAnsi="Verdana"/>
                <w:b/>
              </w:rPr>
            </w:pPr>
          </w:p>
          <w:p w14:paraId="79A97726" w14:textId="5DD1F42E" w:rsidR="002E7806" w:rsidRDefault="002E7806" w:rsidP="002E7806">
            <w:pPr>
              <w:rPr>
                <w:rFonts w:ascii="Verdana" w:hAnsi="Verdana"/>
                <w:bCs/>
              </w:rPr>
            </w:pPr>
            <w:r>
              <w:rPr>
                <w:rFonts w:ascii="Verdana" w:hAnsi="Verdana"/>
                <w:bCs/>
              </w:rPr>
              <w:t>It was noted</w:t>
            </w:r>
            <w:r w:rsidRPr="00B57A06">
              <w:rPr>
                <w:rFonts w:ascii="Verdana" w:hAnsi="Verdana"/>
                <w:bCs/>
              </w:rPr>
              <w:t xml:space="preserve"> </w:t>
            </w:r>
            <w:r>
              <w:rPr>
                <w:rFonts w:ascii="Verdana" w:hAnsi="Verdana"/>
                <w:bCs/>
              </w:rPr>
              <w:t>that the Board level</w:t>
            </w:r>
            <w:r w:rsidRPr="00B57A06">
              <w:rPr>
                <w:rFonts w:ascii="Verdana" w:hAnsi="Verdana"/>
                <w:bCs/>
              </w:rPr>
              <w:t xml:space="preserve"> risk falling within the remit of the Committee</w:t>
            </w:r>
            <w:r>
              <w:rPr>
                <w:rFonts w:ascii="Verdana" w:hAnsi="Verdana"/>
                <w:bCs/>
              </w:rPr>
              <w:t xml:space="preserve"> is considered under Agendum 6 below</w:t>
            </w:r>
            <w:r w:rsidRPr="00B57A06">
              <w:rPr>
                <w:rFonts w:ascii="Verdana" w:hAnsi="Verdana"/>
                <w:bCs/>
              </w:rPr>
              <w:t>.</w:t>
            </w:r>
          </w:p>
          <w:p w14:paraId="754CEBCE" w14:textId="77777777" w:rsidR="002E7806" w:rsidRDefault="002E7806" w:rsidP="002E7806">
            <w:pPr>
              <w:rPr>
                <w:rFonts w:ascii="Verdana" w:hAnsi="Verdana"/>
                <w:bCs/>
              </w:rPr>
            </w:pPr>
          </w:p>
          <w:p w14:paraId="22FF398B" w14:textId="0CD5A203" w:rsidR="002E7806" w:rsidRDefault="002E7806" w:rsidP="002E7806">
            <w:pPr>
              <w:rPr>
                <w:rFonts w:ascii="Verdana" w:hAnsi="Verdana"/>
                <w:bCs/>
              </w:rPr>
            </w:pPr>
            <w:r>
              <w:rPr>
                <w:rFonts w:ascii="Verdana" w:hAnsi="Verdana"/>
                <w:bCs/>
              </w:rPr>
              <w:t xml:space="preserve">It was also noted that any other risks requiring the Audit Committee’s attention </w:t>
            </w:r>
            <w:r w:rsidR="006C1EE2">
              <w:rPr>
                <w:rFonts w:ascii="Verdana" w:hAnsi="Verdana"/>
                <w:bCs/>
              </w:rPr>
              <w:t>we</w:t>
            </w:r>
            <w:r>
              <w:rPr>
                <w:rFonts w:ascii="Verdana" w:hAnsi="Verdana"/>
                <w:bCs/>
              </w:rPr>
              <w:t>re to be identified in the course of the meeting</w:t>
            </w:r>
            <w:r w:rsidR="001D5205">
              <w:rPr>
                <w:rFonts w:ascii="Verdana" w:hAnsi="Verdana"/>
                <w:bCs/>
              </w:rPr>
              <w:t xml:space="preserve"> and duly reported to the said committee</w:t>
            </w:r>
            <w:r>
              <w:rPr>
                <w:rFonts w:ascii="Verdana" w:hAnsi="Verdana"/>
                <w:bCs/>
              </w:rPr>
              <w:t>.</w:t>
            </w:r>
            <w:r w:rsidR="001B0590">
              <w:rPr>
                <w:rFonts w:ascii="Verdana" w:hAnsi="Verdana"/>
                <w:bCs/>
              </w:rPr>
              <w:t xml:space="preserve">  </w:t>
            </w:r>
          </w:p>
          <w:p w14:paraId="7AB4F4F3" w14:textId="0B260066" w:rsidR="00135B35" w:rsidRDefault="00135B35" w:rsidP="002E7806">
            <w:pPr>
              <w:rPr>
                <w:rFonts w:ascii="Verdana" w:hAnsi="Verdana"/>
                <w:bCs/>
              </w:rPr>
            </w:pPr>
          </w:p>
          <w:p w14:paraId="4BE9EEBE" w14:textId="0F284F37" w:rsidR="00135B35" w:rsidRPr="00B57A06" w:rsidRDefault="00135B35" w:rsidP="002E7806">
            <w:pPr>
              <w:rPr>
                <w:rFonts w:ascii="Verdana" w:hAnsi="Verdana"/>
                <w:bCs/>
              </w:rPr>
            </w:pPr>
            <w:r>
              <w:rPr>
                <w:rFonts w:ascii="Verdana" w:hAnsi="Verdana"/>
                <w:bCs/>
              </w:rPr>
              <w:t xml:space="preserve">In the latter regard, it was noted that the Risk Assessment attending the student entry 2020-21, especially </w:t>
            </w:r>
            <w:r w:rsidR="0014062C">
              <w:rPr>
                <w:rFonts w:ascii="Verdana" w:hAnsi="Verdana"/>
                <w:bCs/>
              </w:rPr>
              <w:t>the</w:t>
            </w:r>
            <w:r>
              <w:rPr>
                <w:rFonts w:ascii="Verdana" w:hAnsi="Verdana"/>
                <w:bCs/>
              </w:rPr>
              <w:t xml:space="preserve"> size</w:t>
            </w:r>
            <w:r w:rsidR="0014062C">
              <w:rPr>
                <w:rFonts w:ascii="Verdana" w:hAnsi="Verdana"/>
                <w:bCs/>
              </w:rPr>
              <w:t xml:space="preserve"> of the cohort</w:t>
            </w:r>
            <w:r>
              <w:rPr>
                <w:rFonts w:ascii="Verdana" w:hAnsi="Verdana"/>
                <w:bCs/>
              </w:rPr>
              <w:t xml:space="preserve"> and </w:t>
            </w:r>
            <w:r w:rsidR="00467367">
              <w:rPr>
                <w:rFonts w:ascii="Verdana" w:hAnsi="Verdana"/>
                <w:bCs/>
              </w:rPr>
              <w:t xml:space="preserve">resultant </w:t>
            </w:r>
            <w:r>
              <w:rPr>
                <w:rFonts w:ascii="Verdana" w:hAnsi="Verdana"/>
                <w:bCs/>
              </w:rPr>
              <w:t>financial impact on the 2021-22 financial year</w:t>
            </w:r>
            <w:r w:rsidR="00467367">
              <w:rPr>
                <w:rFonts w:ascii="Verdana" w:hAnsi="Verdana"/>
                <w:bCs/>
              </w:rPr>
              <w:t>, as well as issues attending the safe operation of the College</w:t>
            </w:r>
            <w:r w:rsidR="0014062C">
              <w:rPr>
                <w:rFonts w:ascii="Verdana" w:hAnsi="Verdana"/>
                <w:bCs/>
              </w:rPr>
              <w:t>,</w:t>
            </w:r>
            <w:r w:rsidR="00467367">
              <w:rPr>
                <w:rFonts w:ascii="Verdana" w:hAnsi="Verdana"/>
                <w:bCs/>
              </w:rPr>
              <w:t xml:space="preserve"> would be referred for consideration by the Audit Committee at the meeting to be held on 16 June 2020.</w:t>
            </w:r>
          </w:p>
          <w:p w14:paraId="556C654C" w14:textId="77777777" w:rsidR="004D37CF" w:rsidRDefault="004D37CF" w:rsidP="003C03CB">
            <w:pPr>
              <w:rPr>
                <w:rFonts w:ascii="Verdana" w:hAnsi="Verdana"/>
                <w:b/>
              </w:rPr>
            </w:pPr>
          </w:p>
          <w:p w14:paraId="7E9E0F58" w14:textId="77777777" w:rsidR="00FE39C0" w:rsidRDefault="00FE39C0" w:rsidP="003C03CB">
            <w:pPr>
              <w:rPr>
                <w:rFonts w:ascii="Verdana" w:hAnsi="Verdana"/>
                <w:b/>
              </w:rPr>
            </w:pPr>
          </w:p>
          <w:p w14:paraId="2225E945" w14:textId="77777777" w:rsidR="00FE39C0" w:rsidRDefault="00FE39C0" w:rsidP="003C03CB">
            <w:pPr>
              <w:rPr>
                <w:rFonts w:ascii="Verdana" w:hAnsi="Verdana"/>
                <w:b/>
              </w:rPr>
            </w:pPr>
          </w:p>
          <w:p w14:paraId="14C29EAB" w14:textId="74C11C3B" w:rsidR="00FE39C0" w:rsidRDefault="00FE39C0" w:rsidP="003C03CB">
            <w:pPr>
              <w:rPr>
                <w:rFonts w:ascii="Verdana" w:hAnsi="Verdana"/>
                <w:b/>
              </w:rPr>
            </w:pPr>
          </w:p>
        </w:tc>
      </w:tr>
      <w:tr w:rsidR="00626F4B" w:rsidRPr="005D6214" w14:paraId="3B8AEF8B" w14:textId="77777777" w:rsidTr="00EF4D29">
        <w:tc>
          <w:tcPr>
            <w:tcW w:w="529" w:type="dxa"/>
            <w:tcBorders>
              <w:top w:val="nil"/>
              <w:left w:val="nil"/>
              <w:bottom w:val="nil"/>
              <w:right w:val="nil"/>
            </w:tcBorders>
            <w:shd w:val="clear" w:color="auto" w:fill="auto"/>
            <w:tcMar>
              <w:top w:w="0" w:type="dxa"/>
              <w:left w:w="108" w:type="dxa"/>
              <w:bottom w:w="0" w:type="dxa"/>
              <w:right w:w="108" w:type="dxa"/>
            </w:tcMar>
          </w:tcPr>
          <w:p w14:paraId="66BADDFA" w14:textId="3AC18523" w:rsidR="00626F4B" w:rsidRPr="005D6214" w:rsidRDefault="002E7806" w:rsidP="005363B3">
            <w:pPr>
              <w:pStyle w:val="NoSpacing"/>
              <w:rPr>
                <w:b/>
                <w:color w:val="FF0000"/>
              </w:rPr>
            </w:pPr>
            <w:r>
              <w:rPr>
                <w:b/>
              </w:rPr>
              <w:lastRenderedPageBreak/>
              <w:t>6</w:t>
            </w:r>
          </w:p>
        </w:tc>
        <w:tc>
          <w:tcPr>
            <w:tcW w:w="8935" w:type="dxa"/>
            <w:tcBorders>
              <w:top w:val="nil"/>
              <w:left w:val="nil"/>
              <w:bottom w:val="nil"/>
              <w:right w:val="nil"/>
            </w:tcBorders>
            <w:shd w:val="clear" w:color="auto" w:fill="auto"/>
            <w:tcMar>
              <w:top w:w="0" w:type="dxa"/>
              <w:left w:w="108" w:type="dxa"/>
              <w:bottom w:w="0" w:type="dxa"/>
              <w:right w:w="108" w:type="dxa"/>
            </w:tcMar>
          </w:tcPr>
          <w:p w14:paraId="7CFDA9E1" w14:textId="77777777" w:rsidR="00953ACF" w:rsidRDefault="00953ACF" w:rsidP="00953ACF">
            <w:pPr>
              <w:rPr>
                <w:rFonts w:ascii="Verdana" w:hAnsi="Verdana"/>
                <w:b/>
              </w:rPr>
            </w:pPr>
            <w:r>
              <w:rPr>
                <w:rFonts w:ascii="Verdana" w:hAnsi="Verdana"/>
                <w:b/>
              </w:rPr>
              <w:t>Communications and Marketing, with Special Reference to Student Recruitment during the Present Health Emergency</w:t>
            </w:r>
          </w:p>
          <w:p w14:paraId="34182FA5" w14:textId="77777777" w:rsidR="003C03CB" w:rsidRDefault="003C03CB" w:rsidP="003C03CB">
            <w:pPr>
              <w:rPr>
                <w:rFonts w:ascii="Verdana" w:hAnsi="Verdana"/>
                <w:b/>
              </w:rPr>
            </w:pPr>
          </w:p>
          <w:p w14:paraId="4BA5CD3F" w14:textId="7B7BAD67" w:rsidR="00803EAD" w:rsidRDefault="003C03CB" w:rsidP="00D14DBE">
            <w:pPr>
              <w:rPr>
                <w:rFonts w:ascii="Verdana" w:hAnsi="Verdana"/>
              </w:rPr>
            </w:pPr>
            <w:r>
              <w:rPr>
                <w:rFonts w:ascii="Verdana" w:hAnsi="Verdana"/>
              </w:rPr>
              <w:t>A report</w:t>
            </w:r>
            <w:r w:rsidR="00DC6088">
              <w:rPr>
                <w:rFonts w:ascii="Verdana" w:hAnsi="Verdana"/>
              </w:rPr>
              <w:t xml:space="preserve"> </w:t>
            </w:r>
            <w:r>
              <w:rPr>
                <w:rFonts w:ascii="Verdana" w:hAnsi="Verdana"/>
              </w:rPr>
              <w:t xml:space="preserve">prepared by the Vice-Principal: </w:t>
            </w:r>
            <w:r w:rsidRPr="00FE7EDC">
              <w:rPr>
                <w:rFonts w:ascii="Verdana" w:hAnsi="Verdana"/>
              </w:rPr>
              <w:t>Student S</w:t>
            </w:r>
            <w:r>
              <w:rPr>
                <w:rFonts w:ascii="Verdana" w:hAnsi="Verdana"/>
              </w:rPr>
              <w:t>ervices and Recruitment</w:t>
            </w:r>
            <w:r w:rsidR="006433BD">
              <w:rPr>
                <w:rFonts w:ascii="Verdana" w:hAnsi="Verdana"/>
              </w:rPr>
              <w:t xml:space="preserve"> was received and considered.  </w:t>
            </w:r>
          </w:p>
          <w:p w14:paraId="498DCC7A" w14:textId="7932CE86" w:rsidR="00F454D9" w:rsidRDefault="00F454D9" w:rsidP="00D14DBE">
            <w:pPr>
              <w:rPr>
                <w:rFonts w:ascii="Verdana" w:hAnsi="Verdana"/>
              </w:rPr>
            </w:pPr>
          </w:p>
          <w:p w14:paraId="2878C0D8" w14:textId="6EBD0D84" w:rsidR="0042218C" w:rsidRPr="00A973DA" w:rsidRDefault="006433BD" w:rsidP="00D14DBE">
            <w:pPr>
              <w:rPr>
                <w:rFonts w:ascii="Verdana" w:hAnsi="Verdana"/>
              </w:rPr>
            </w:pPr>
            <w:r w:rsidRPr="00F454D9">
              <w:rPr>
                <w:rFonts w:ascii="Verdana" w:hAnsi="Verdana"/>
              </w:rPr>
              <w:t xml:space="preserve">It was </w:t>
            </w:r>
            <w:r w:rsidR="005F3061" w:rsidRPr="00F454D9">
              <w:rPr>
                <w:rFonts w:ascii="Verdana" w:hAnsi="Verdana"/>
              </w:rPr>
              <w:t>repor</w:t>
            </w:r>
            <w:r w:rsidRPr="00F454D9">
              <w:rPr>
                <w:rFonts w:ascii="Verdana" w:hAnsi="Verdana"/>
              </w:rPr>
              <w:t xml:space="preserve">ted </w:t>
            </w:r>
            <w:r w:rsidR="00D74DF4">
              <w:rPr>
                <w:rFonts w:ascii="Verdana" w:hAnsi="Verdana"/>
              </w:rPr>
              <w:t xml:space="preserve">overall </w:t>
            </w:r>
            <w:r w:rsidRPr="00F454D9">
              <w:rPr>
                <w:rFonts w:ascii="Verdana" w:hAnsi="Verdana"/>
              </w:rPr>
              <w:t>that</w:t>
            </w:r>
            <w:r w:rsidR="002E7806" w:rsidRPr="00F454D9">
              <w:rPr>
                <w:rFonts w:ascii="Verdana" w:hAnsi="Verdana"/>
              </w:rPr>
              <w:t xml:space="preserve"> </w:t>
            </w:r>
          </w:p>
        </w:tc>
      </w:tr>
    </w:tbl>
    <w:p w14:paraId="52D904AF" w14:textId="77777777" w:rsidR="002E7806" w:rsidRDefault="002E7806" w:rsidP="00626F4B">
      <w:pPr>
        <w:rPr>
          <w:color w:val="FF0000"/>
        </w:rPr>
      </w:pP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312"/>
        <w:gridCol w:w="8618"/>
      </w:tblGrid>
      <w:tr w:rsidR="00C760FC" w14:paraId="5671DCC0" w14:textId="77777777" w:rsidTr="00EF4D29">
        <w:tc>
          <w:tcPr>
            <w:tcW w:w="534" w:type="dxa"/>
          </w:tcPr>
          <w:p w14:paraId="627D21BB" w14:textId="77777777" w:rsidR="00C760FC" w:rsidRPr="002F412F" w:rsidRDefault="00C760FC" w:rsidP="00626F4B">
            <w:pPr>
              <w:rPr>
                <w:rFonts w:ascii="Verdana" w:hAnsi="Verdana"/>
                <w:color w:val="FF0000"/>
              </w:rPr>
            </w:pPr>
          </w:p>
        </w:tc>
        <w:tc>
          <w:tcPr>
            <w:tcW w:w="312" w:type="dxa"/>
          </w:tcPr>
          <w:p w14:paraId="7583EE4E" w14:textId="387B8453" w:rsidR="00C760FC" w:rsidRPr="002F412F" w:rsidRDefault="002F412F" w:rsidP="00626F4B">
            <w:pPr>
              <w:rPr>
                <w:rFonts w:ascii="Verdana" w:hAnsi="Verdana"/>
                <w:b/>
              </w:rPr>
            </w:pPr>
            <w:r w:rsidRPr="002F412F">
              <w:rPr>
                <w:rFonts w:ascii="Verdana" w:hAnsi="Verdana"/>
                <w:b/>
              </w:rPr>
              <w:t>.</w:t>
            </w:r>
          </w:p>
        </w:tc>
        <w:tc>
          <w:tcPr>
            <w:tcW w:w="8618" w:type="dxa"/>
          </w:tcPr>
          <w:p w14:paraId="2DE371AE" w14:textId="347208E0" w:rsidR="0042218C" w:rsidRPr="006E0A6D" w:rsidRDefault="00FE2767" w:rsidP="007C2BF3">
            <w:pPr>
              <w:pStyle w:val="NoSpacing"/>
              <w:rPr>
                <w:i/>
                <w:iCs/>
              </w:rPr>
            </w:pPr>
            <w:r>
              <w:t>the number of applications had remained significantly above that recorded at the same point in the previous year though, due to the impact of Covid-19, the College had not been able to match the previous year in terms of the number of offers</w:t>
            </w:r>
            <w:r w:rsidR="004D37CF">
              <w:t xml:space="preserve"> made</w:t>
            </w:r>
            <w:r>
              <w:t>, but is expecting this to change with the introduction of telephone interviews;</w:t>
            </w:r>
            <w:r w:rsidR="006E0A6D">
              <w:t xml:space="preserve"> </w:t>
            </w:r>
            <w:r w:rsidR="006E0A6D">
              <w:rPr>
                <w:i/>
                <w:iCs/>
              </w:rPr>
              <w:t>and</w:t>
            </w:r>
          </w:p>
          <w:p w14:paraId="615A0B56" w14:textId="04F10898" w:rsidR="00FE2767" w:rsidRPr="002F412F" w:rsidRDefault="00FE2767" w:rsidP="007C2BF3">
            <w:pPr>
              <w:pStyle w:val="NoSpacing"/>
            </w:pPr>
          </w:p>
        </w:tc>
      </w:tr>
      <w:tr w:rsidR="00C760FC" w14:paraId="44EA1BB9" w14:textId="77777777" w:rsidTr="00EF4D29">
        <w:tc>
          <w:tcPr>
            <w:tcW w:w="534" w:type="dxa"/>
          </w:tcPr>
          <w:p w14:paraId="692E8AEA" w14:textId="77777777" w:rsidR="00C760FC" w:rsidRPr="002F412F" w:rsidRDefault="00C760FC" w:rsidP="00626F4B">
            <w:pPr>
              <w:rPr>
                <w:rFonts w:ascii="Verdana" w:hAnsi="Verdana"/>
                <w:color w:val="FF0000"/>
              </w:rPr>
            </w:pPr>
          </w:p>
        </w:tc>
        <w:tc>
          <w:tcPr>
            <w:tcW w:w="312" w:type="dxa"/>
          </w:tcPr>
          <w:p w14:paraId="399412B1" w14:textId="7590410F" w:rsidR="00C760FC" w:rsidRPr="002F412F" w:rsidRDefault="002F412F" w:rsidP="00626F4B">
            <w:pPr>
              <w:rPr>
                <w:rFonts w:ascii="Verdana" w:hAnsi="Verdana"/>
                <w:b/>
              </w:rPr>
            </w:pPr>
            <w:r w:rsidRPr="002F412F">
              <w:rPr>
                <w:rFonts w:ascii="Verdana" w:hAnsi="Verdana"/>
                <w:b/>
              </w:rPr>
              <w:t>.</w:t>
            </w:r>
          </w:p>
        </w:tc>
        <w:tc>
          <w:tcPr>
            <w:tcW w:w="8618" w:type="dxa"/>
          </w:tcPr>
          <w:p w14:paraId="009DE86C" w14:textId="48FFE31D" w:rsidR="00DA46D0" w:rsidRPr="007C2BF3" w:rsidRDefault="00FE2767" w:rsidP="00C13A8E">
            <w:pPr>
              <w:pStyle w:val="NoSpacing"/>
            </w:pPr>
            <w:r>
              <w:t>the overall projection remains the same as reported to the previous meeting of the Committee (i.e. 1,820 students enrolled from September 2020, which would also represent maximum capacity).</w:t>
            </w:r>
          </w:p>
        </w:tc>
      </w:tr>
    </w:tbl>
    <w:p w14:paraId="505F3A8A" w14:textId="1BB8BCB5" w:rsidR="006B54C2" w:rsidRDefault="006B54C2" w:rsidP="00626F4B">
      <w:pPr>
        <w:rPr>
          <w:rFonts w:ascii="Verdana" w:hAnsi="Verdana"/>
          <w:color w:val="FF0000"/>
        </w:rPr>
      </w:pPr>
    </w:p>
    <w:tbl>
      <w:tblPr>
        <w:tblW w:w="9464" w:type="dxa"/>
        <w:tblCellMar>
          <w:left w:w="10" w:type="dxa"/>
          <w:right w:w="10" w:type="dxa"/>
        </w:tblCellMar>
        <w:tblLook w:val="0000" w:firstRow="0" w:lastRow="0" w:firstColumn="0" w:lastColumn="0" w:noHBand="0" w:noVBand="0"/>
      </w:tblPr>
      <w:tblGrid>
        <w:gridCol w:w="529"/>
        <w:gridCol w:w="8935"/>
      </w:tblGrid>
      <w:tr w:rsidR="00FE2767" w:rsidRPr="005D6214" w14:paraId="7421098C" w14:textId="77777777" w:rsidTr="00EF4D29">
        <w:tc>
          <w:tcPr>
            <w:tcW w:w="529" w:type="dxa"/>
            <w:shd w:val="clear" w:color="auto" w:fill="auto"/>
            <w:tcMar>
              <w:top w:w="0" w:type="dxa"/>
              <w:left w:w="108" w:type="dxa"/>
              <w:bottom w:w="0" w:type="dxa"/>
              <w:right w:w="108" w:type="dxa"/>
            </w:tcMar>
          </w:tcPr>
          <w:p w14:paraId="09B90B88" w14:textId="7849345C" w:rsidR="00FE2767" w:rsidRPr="005D6214" w:rsidRDefault="00FE2767" w:rsidP="004D59DC">
            <w:pPr>
              <w:pStyle w:val="NoSpacing"/>
              <w:rPr>
                <w:b/>
                <w:color w:val="FF0000"/>
              </w:rPr>
            </w:pPr>
          </w:p>
        </w:tc>
        <w:tc>
          <w:tcPr>
            <w:tcW w:w="8935" w:type="dxa"/>
            <w:shd w:val="clear" w:color="auto" w:fill="auto"/>
            <w:tcMar>
              <w:top w:w="0" w:type="dxa"/>
              <w:left w:w="108" w:type="dxa"/>
              <w:bottom w:w="0" w:type="dxa"/>
              <w:right w:w="108" w:type="dxa"/>
            </w:tcMar>
          </w:tcPr>
          <w:p w14:paraId="28AF9CD9" w14:textId="0B70F4D6" w:rsidR="00FE2767" w:rsidRPr="00A973DA" w:rsidRDefault="00FE2767" w:rsidP="004D59DC">
            <w:pPr>
              <w:rPr>
                <w:rFonts w:ascii="Verdana" w:hAnsi="Verdana"/>
              </w:rPr>
            </w:pPr>
            <w:r w:rsidRPr="00F454D9">
              <w:rPr>
                <w:rFonts w:ascii="Verdana" w:hAnsi="Verdana"/>
              </w:rPr>
              <w:t xml:space="preserve">It was reported </w:t>
            </w:r>
            <w:r w:rsidR="00D74DF4">
              <w:rPr>
                <w:rFonts w:ascii="Verdana" w:hAnsi="Verdana"/>
              </w:rPr>
              <w:t xml:space="preserve">in more detail </w:t>
            </w:r>
            <w:r w:rsidRPr="00F454D9">
              <w:rPr>
                <w:rFonts w:ascii="Verdana" w:hAnsi="Verdana"/>
              </w:rPr>
              <w:t xml:space="preserve">that </w:t>
            </w:r>
          </w:p>
        </w:tc>
      </w:tr>
    </w:tbl>
    <w:p w14:paraId="3278331A" w14:textId="77777777" w:rsidR="00FE2767" w:rsidRDefault="00FE2767" w:rsidP="00FE2767">
      <w:pPr>
        <w:rPr>
          <w:color w:val="FF0000"/>
        </w:rPr>
      </w:pP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312"/>
        <w:gridCol w:w="8618"/>
      </w:tblGrid>
      <w:tr w:rsidR="00FE2767" w14:paraId="20C17BBE" w14:textId="77777777" w:rsidTr="00EF4D29">
        <w:tc>
          <w:tcPr>
            <w:tcW w:w="534" w:type="dxa"/>
          </w:tcPr>
          <w:p w14:paraId="484D2E02" w14:textId="77777777" w:rsidR="00FE2767" w:rsidRPr="002F412F" w:rsidRDefault="00FE2767" w:rsidP="004D59DC">
            <w:pPr>
              <w:rPr>
                <w:rFonts w:ascii="Verdana" w:hAnsi="Verdana"/>
                <w:color w:val="FF0000"/>
              </w:rPr>
            </w:pPr>
          </w:p>
        </w:tc>
        <w:tc>
          <w:tcPr>
            <w:tcW w:w="312" w:type="dxa"/>
          </w:tcPr>
          <w:p w14:paraId="53EADA18" w14:textId="77777777" w:rsidR="00FE2767" w:rsidRPr="002F412F" w:rsidRDefault="00FE2767" w:rsidP="004D59DC">
            <w:pPr>
              <w:rPr>
                <w:rFonts w:ascii="Verdana" w:hAnsi="Verdana"/>
                <w:b/>
              </w:rPr>
            </w:pPr>
            <w:r w:rsidRPr="002F412F">
              <w:rPr>
                <w:rFonts w:ascii="Verdana" w:hAnsi="Verdana"/>
                <w:b/>
              </w:rPr>
              <w:t>.</w:t>
            </w:r>
          </w:p>
        </w:tc>
        <w:tc>
          <w:tcPr>
            <w:tcW w:w="8618" w:type="dxa"/>
          </w:tcPr>
          <w:p w14:paraId="4CB01ED6" w14:textId="2C1A05D6" w:rsidR="00FE2767" w:rsidRDefault="00FE2767" w:rsidP="004D59DC">
            <w:pPr>
              <w:pStyle w:val="NoSpacing"/>
            </w:pPr>
            <w:r>
              <w:t xml:space="preserve">there had been a significant increase of 21% in the number of applications compared to last year, and </w:t>
            </w:r>
            <w:r w:rsidR="00EF4D29">
              <w:t xml:space="preserve">that </w:t>
            </w:r>
            <w:r>
              <w:t xml:space="preserve">the application rate had been sustained during the closure period, driven by the </w:t>
            </w:r>
            <w:r w:rsidR="004D37CF">
              <w:t>conti</w:t>
            </w:r>
            <w:r>
              <w:t>n</w:t>
            </w:r>
            <w:r w:rsidR="004D37CF">
              <w:t>u</w:t>
            </w:r>
            <w:r>
              <w:t xml:space="preserve">ed improvement in school liaison, </w:t>
            </w:r>
            <w:r w:rsidR="004D37CF">
              <w:t>the College’s enhance</w:t>
            </w:r>
            <w:r>
              <w:t>d reputation, and a new online application system;</w:t>
            </w:r>
          </w:p>
          <w:p w14:paraId="4C2E2154" w14:textId="2CE44823" w:rsidR="00FE2767" w:rsidRPr="002F412F" w:rsidRDefault="00FE2767" w:rsidP="004D59DC">
            <w:pPr>
              <w:pStyle w:val="NoSpacing"/>
            </w:pPr>
          </w:p>
        </w:tc>
      </w:tr>
      <w:tr w:rsidR="00FE2767" w14:paraId="0ABFB9D7" w14:textId="77777777" w:rsidTr="00EF4D29">
        <w:tc>
          <w:tcPr>
            <w:tcW w:w="534" w:type="dxa"/>
          </w:tcPr>
          <w:p w14:paraId="39B4F4E7" w14:textId="77777777" w:rsidR="00FE2767" w:rsidRPr="002F412F" w:rsidRDefault="00FE2767" w:rsidP="004D59DC">
            <w:pPr>
              <w:rPr>
                <w:rFonts w:ascii="Verdana" w:hAnsi="Verdana"/>
                <w:color w:val="FF0000"/>
              </w:rPr>
            </w:pPr>
          </w:p>
        </w:tc>
        <w:tc>
          <w:tcPr>
            <w:tcW w:w="312" w:type="dxa"/>
          </w:tcPr>
          <w:p w14:paraId="6E240354" w14:textId="77777777" w:rsidR="00FE2767" w:rsidRPr="002F412F" w:rsidRDefault="00FE2767" w:rsidP="004D59DC">
            <w:pPr>
              <w:rPr>
                <w:rFonts w:ascii="Verdana" w:hAnsi="Verdana"/>
                <w:b/>
              </w:rPr>
            </w:pPr>
            <w:r w:rsidRPr="002F412F">
              <w:rPr>
                <w:rFonts w:ascii="Verdana" w:hAnsi="Verdana"/>
                <w:b/>
              </w:rPr>
              <w:t>.</w:t>
            </w:r>
          </w:p>
        </w:tc>
        <w:tc>
          <w:tcPr>
            <w:tcW w:w="8618" w:type="dxa"/>
          </w:tcPr>
          <w:p w14:paraId="27CABCB5" w14:textId="367EDF54" w:rsidR="00FE2767" w:rsidRDefault="00FE2767" w:rsidP="004D59DC">
            <w:pPr>
              <w:pStyle w:val="NoSpacing"/>
            </w:pPr>
            <w:r>
              <w:t xml:space="preserve">however, the relative ease of application may have led to an increase in students </w:t>
            </w:r>
            <w:r w:rsidR="004D37CF">
              <w:t xml:space="preserve">who </w:t>
            </w:r>
            <w:r>
              <w:t xml:space="preserve">submit an initial application </w:t>
            </w:r>
            <w:r w:rsidR="004D37CF">
              <w:t>but</w:t>
            </w:r>
            <w:r>
              <w:t xml:space="preserve"> do not follow it through - there is also a ‘Stage 2’ which needs to be completed prior to enrolment, and may </w:t>
            </w:r>
            <w:r w:rsidR="004D37CF">
              <w:t>b</w:t>
            </w:r>
            <w:r>
              <w:t xml:space="preserve">e a better </w:t>
            </w:r>
            <w:r w:rsidR="00D74DF4">
              <w:t>measure</w:t>
            </w:r>
            <w:r>
              <w:t xml:space="preserve"> to track </w:t>
            </w:r>
            <w:r w:rsidR="00D74DF4">
              <w:t>(</w:t>
            </w:r>
            <w:r>
              <w:t xml:space="preserve">800 prospective students have completed Stage 2 </w:t>
            </w:r>
            <w:r w:rsidR="00D74DF4">
              <w:t>to date</w:t>
            </w:r>
            <w:r w:rsidR="004D37CF">
              <w:t>)</w:t>
            </w:r>
            <w:r w:rsidR="00D74DF4">
              <w:t>;</w:t>
            </w:r>
          </w:p>
          <w:p w14:paraId="76A09D4E" w14:textId="3CF89722" w:rsidR="00D74DF4" w:rsidRPr="007C2BF3" w:rsidRDefault="00D74DF4" w:rsidP="004D59DC">
            <w:pPr>
              <w:pStyle w:val="NoSpacing"/>
            </w:pPr>
          </w:p>
        </w:tc>
      </w:tr>
      <w:tr w:rsidR="00FE2767" w14:paraId="1186FEA4" w14:textId="77777777" w:rsidTr="00EF4D29">
        <w:tc>
          <w:tcPr>
            <w:tcW w:w="534" w:type="dxa"/>
          </w:tcPr>
          <w:p w14:paraId="58D95E55" w14:textId="77777777" w:rsidR="00FE2767" w:rsidRPr="002F412F" w:rsidRDefault="00FE2767" w:rsidP="004D59DC">
            <w:pPr>
              <w:rPr>
                <w:rFonts w:ascii="Verdana" w:hAnsi="Verdana"/>
                <w:color w:val="FF0000"/>
              </w:rPr>
            </w:pPr>
          </w:p>
        </w:tc>
        <w:tc>
          <w:tcPr>
            <w:tcW w:w="312" w:type="dxa"/>
          </w:tcPr>
          <w:p w14:paraId="2604D73F" w14:textId="7AD6EF45" w:rsidR="00FE2767" w:rsidRPr="002F412F" w:rsidRDefault="00FE2767" w:rsidP="004D59DC">
            <w:pPr>
              <w:rPr>
                <w:rFonts w:ascii="Verdana" w:hAnsi="Verdana"/>
                <w:b/>
              </w:rPr>
            </w:pPr>
            <w:r>
              <w:rPr>
                <w:rFonts w:ascii="Verdana" w:hAnsi="Verdana"/>
                <w:b/>
              </w:rPr>
              <w:t>.</w:t>
            </w:r>
          </w:p>
        </w:tc>
        <w:tc>
          <w:tcPr>
            <w:tcW w:w="8618" w:type="dxa"/>
          </w:tcPr>
          <w:p w14:paraId="3C9513D6" w14:textId="2A5542C5" w:rsidR="00FE2767" w:rsidRPr="006E0A6D" w:rsidRDefault="00D74DF4" w:rsidP="004D59DC">
            <w:pPr>
              <w:pStyle w:val="NoSpacing"/>
              <w:rPr>
                <w:i/>
                <w:iCs/>
              </w:rPr>
            </w:pPr>
            <w:r>
              <w:t>Covid-19 had had a significant effect on the number of offers, with a drop-off in interview attendance, face</w:t>
            </w:r>
            <w:r w:rsidR="00EF4D29">
              <w:t>-</w:t>
            </w:r>
            <w:r>
              <w:t>to</w:t>
            </w:r>
            <w:r w:rsidR="00EF4D29">
              <w:t>-</w:t>
            </w:r>
            <w:r>
              <w:t xml:space="preserve">face interviews having been suspended from 18 March, and an Open Evening (which would have also included interviews) having been cancelled; </w:t>
            </w:r>
            <w:r w:rsidR="006E0A6D">
              <w:rPr>
                <w:i/>
                <w:iCs/>
              </w:rPr>
              <w:t>and</w:t>
            </w:r>
          </w:p>
          <w:p w14:paraId="22C242BD" w14:textId="2D29EDD0" w:rsidR="00D74DF4" w:rsidRPr="007C2BF3" w:rsidRDefault="00D74DF4" w:rsidP="004D59DC">
            <w:pPr>
              <w:pStyle w:val="NoSpacing"/>
            </w:pPr>
          </w:p>
        </w:tc>
      </w:tr>
      <w:tr w:rsidR="00FE2767" w14:paraId="19E8C3F9" w14:textId="77777777" w:rsidTr="00EF4D29">
        <w:tc>
          <w:tcPr>
            <w:tcW w:w="534" w:type="dxa"/>
          </w:tcPr>
          <w:p w14:paraId="02E392FA" w14:textId="77777777" w:rsidR="00FE2767" w:rsidRPr="002F412F" w:rsidRDefault="00FE2767" w:rsidP="004D59DC">
            <w:pPr>
              <w:rPr>
                <w:rFonts w:ascii="Verdana" w:hAnsi="Verdana"/>
                <w:color w:val="FF0000"/>
              </w:rPr>
            </w:pPr>
          </w:p>
        </w:tc>
        <w:tc>
          <w:tcPr>
            <w:tcW w:w="312" w:type="dxa"/>
          </w:tcPr>
          <w:p w14:paraId="6F8A398A" w14:textId="22A617D7" w:rsidR="00FE2767" w:rsidRPr="002F412F" w:rsidRDefault="00FE2767" w:rsidP="004D59DC">
            <w:pPr>
              <w:rPr>
                <w:rFonts w:ascii="Verdana" w:hAnsi="Verdana"/>
                <w:b/>
              </w:rPr>
            </w:pPr>
            <w:r>
              <w:rPr>
                <w:rFonts w:ascii="Verdana" w:hAnsi="Verdana"/>
                <w:b/>
              </w:rPr>
              <w:t>.</w:t>
            </w:r>
          </w:p>
        </w:tc>
        <w:tc>
          <w:tcPr>
            <w:tcW w:w="8618" w:type="dxa"/>
          </w:tcPr>
          <w:p w14:paraId="24CE503C" w14:textId="1DF5D8D2" w:rsidR="00D74DF4" w:rsidRPr="007C2BF3" w:rsidRDefault="00D74DF4" w:rsidP="004D59DC">
            <w:pPr>
              <w:pStyle w:val="NoSpacing"/>
            </w:pPr>
            <w:r>
              <w:t>there is a backlog of approximately 600 new applicants, and approximately 800 ‘no-shows’ who would be going through the process of being re-invited, though this is expected to improve following the introduction of telephone interviews from the week commencing 4 May</w:t>
            </w:r>
            <w:r w:rsidR="00AB7503">
              <w:t>.</w:t>
            </w:r>
          </w:p>
        </w:tc>
      </w:tr>
    </w:tbl>
    <w:p w14:paraId="192C382F" w14:textId="5074210A" w:rsidR="00FE2767" w:rsidRDefault="00FE2767" w:rsidP="00626F4B">
      <w:pPr>
        <w:rPr>
          <w:rFonts w:ascii="Verdana" w:hAnsi="Verdana"/>
          <w:color w:val="FF0000"/>
        </w:rPr>
      </w:pPr>
    </w:p>
    <w:tbl>
      <w:tblPr>
        <w:tblW w:w="9464" w:type="dxa"/>
        <w:tblCellMar>
          <w:left w:w="10" w:type="dxa"/>
          <w:right w:w="10" w:type="dxa"/>
        </w:tblCellMar>
        <w:tblLook w:val="0000" w:firstRow="0" w:lastRow="0" w:firstColumn="0" w:lastColumn="0" w:noHBand="0" w:noVBand="0"/>
      </w:tblPr>
      <w:tblGrid>
        <w:gridCol w:w="529"/>
        <w:gridCol w:w="8935"/>
      </w:tblGrid>
      <w:tr w:rsidR="006E0A6D" w:rsidRPr="005D6214" w14:paraId="5AB9A686" w14:textId="77777777" w:rsidTr="00EF4D29">
        <w:tc>
          <w:tcPr>
            <w:tcW w:w="529" w:type="dxa"/>
            <w:shd w:val="clear" w:color="auto" w:fill="auto"/>
            <w:tcMar>
              <w:top w:w="0" w:type="dxa"/>
              <w:left w:w="108" w:type="dxa"/>
              <w:bottom w:w="0" w:type="dxa"/>
              <w:right w:w="108" w:type="dxa"/>
            </w:tcMar>
          </w:tcPr>
          <w:p w14:paraId="5DE4F88F" w14:textId="77777777" w:rsidR="006E0A6D" w:rsidRPr="005D6214" w:rsidRDefault="006E0A6D" w:rsidP="004D59DC">
            <w:pPr>
              <w:pStyle w:val="NoSpacing"/>
              <w:rPr>
                <w:b/>
                <w:color w:val="FF0000"/>
              </w:rPr>
            </w:pPr>
          </w:p>
        </w:tc>
        <w:tc>
          <w:tcPr>
            <w:tcW w:w="8935" w:type="dxa"/>
            <w:shd w:val="clear" w:color="auto" w:fill="auto"/>
            <w:tcMar>
              <w:top w:w="0" w:type="dxa"/>
              <w:left w:w="108" w:type="dxa"/>
              <w:bottom w:w="0" w:type="dxa"/>
              <w:right w:w="108" w:type="dxa"/>
            </w:tcMar>
          </w:tcPr>
          <w:p w14:paraId="34206B1A" w14:textId="285EB89A" w:rsidR="006E0A6D" w:rsidRPr="006E0A6D" w:rsidRDefault="006E0A6D" w:rsidP="004D59DC">
            <w:pPr>
              <w:rPr>
                <w:rFonts w:ascii="Verdana" w:hAnsi="Verdana"/>
              </w:rPr>
            </w:pPr>
            <w:r w:rsidRPr="006E0A6D">
              <w:rPr>
                <w:rFonts w:ascii="Verdana" w:hAnsi="Verdana"/>
              </w:rPr>
              <w:t>In relation to the revised marketing strategy, it was reported that the following actions ha</w:t>
            </w:r>
            <w:r w:rsidR="005B4ED0">
              <w:rPr>
                <w:rFonts w:ascii="Verdana" w:hAnsi="Verdana"/>
              </w:rPr>
              <w:t>d</w:t>
            </w:r>
            <w:r w:rsidRPr="006E0A6D">
              <w:rPr>
                <w:rFonts w:ascii="Verdana" w:hAnsi="Verdana"/>
              </w:rPr>
              <w:t xml:space="preserve"> been put in place during the closure period to maintain the engagement of potential students with the College</w:t>
            </w:r>
            <w:r>
              <w:rPr>
                <w:rFonts w:ascii="Verdana" w:hAnsi="Verdana"/>
              </w:rPr>
              <w:t>:</w:t>
            </w:r>
          </w:p>
        </w:tc>
      </w:tr>
    </w:tbl>
    <w:p w14:paraId="1F3659F8" w14:textId="77777777" w:rsidR="006E0A6D" w:rsidRDefault="006E0A6D" w:rsidP="006E0A6D">
      <w:pPr>
        <w:rPr>
          <w:color w:val="FF0000"/>
        </w:rPr>
      </w:pP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312"/>
        <w:gridCol w:w="8618"/>
      </w:tblGrid>
      <w:tr w:rsidR="006E0A6D" w14:paraId="26D8D6BD" w14:textId="77777777" w:rsidTr="00EF4D29">
        <w:tc>
          <w:tcPr>
            <w:tcW w:w="534" w:type="dxa"/>
          </w:tcPr>
          <w:p w14:paraId="0326392B" w14:textId="77777777" w:rsidR="006E0A6D" w:rsidRPr="002F412F" w:rsidRDefault="006E0A6D" w:rsidP="004D59DC">
            <w:pPr>
              <w:rPr>
                <w:rFonts w:ascii="Verdana" w:hAnsi="Verdana"/>
                <w:color w:val="FF0000"/>
              </w:rPr>
            </w:pPr>
          </w:p>
        </w:tc>
        <w:tc>
          <w:tcPr>
            <w:tcW w:w="312" w:type="dxa"/>
          </w:tcPr>
          <w:p w14:paraId="6C6BD154" w14:textId="77777777" w:rsidR="006E0A6D" w:rsidRPr="002F412F" w:rsidRDefault="006E0A6D" w:rsidP="004D59DC">
            <w:pPr>
              <w:rPr>
                <w:rFonts w:ascii="Verdana" w:hAnsi="Verdana"/>
                <w:b/>
              </w:rPr>
            </w:pPr>
            <w:r w:rsidRPr="002F412F">
              <w:rPr>
                <w:rFonts w:ascii="Verdana" w:hAnsi="Verdana"/>
                <w:b/>
              </w:rPr>
              <w:t>.</w:t>
            </w:r>
          </w:p>
        </w:tc>
        <w:tc>
          <w:tcPr>
            <w:tcW w:w="8618" w:type="dxa"/>
          </w:tcPr>
          <w:p w14:paraId="5EF6FF38" w14:textId="4BE071E8" w:rsidR="006E0A6D" w:rsidRDefault="006E0A6D" w:rsidP="004D59DC">
            <w:pPr>
              <w:pStyle w:val="NoSpacing"/>
            </w:pPr>
            <w:r>
              <w:t xml:space="preserve">during the weeks commencing 1 May and 8 May, telephone interviews had been successfully piloted for new applicants, with approximately 50% resulting in offers – </w:t>
            </w:r>
            <w:r w:rsidRPr="00D81EFB">
              <w:t xml:space="preserve">the initiative had been expanded </w:t>
            </w:r>
            <w:r w:rsidR="00FE39C0">
              <w:t>for implementation by</w:t>
            </w:r>
            <w:r w:rsidRPr="00D81EFB">
              <w:t xml:space="preserve"> a larger group of support staff, with a further expansion to teaching staff planned;</w:t>
            </w:r>
          </w:p>
          <w:p w14:paraId="65FFF14C" w14:textId="1B88822F" w:rsidR="006E0A6D" w:rsidRPr="002F412F" w:rsidRDefault="006E0A6D" w:rsidP="004D59DC">
            <w:pPr>
              <w:pStyle w:val="NoSpacing"/>
            </w:pPr>
          </w:p>
        </w:tc>
      </w:tr>
      <w:tr w:rsidR="006E0A6D" w14:paraId="19BD6D2B" w14:textId="77777777" w:rsidTr="00EF4D29">
        <w:tc>
          <w:tcPr>
            <w:tcW w:w="534" w:type="dxa"/>
          </w:tcPr>
          <w:p w14:paraId="4954548D" w14:textId="77777777" w:rsidR="006E0A6D" w:rsidRPr="002F412F" w:rsidRDefault="006E0A6D" w:rsidP="004D59DC">
            <w:pPr>
              <w:rPr>
                <w:rFonts w:ascii="Verdana" w:hAnsi="Verdana"/>
                <w:color w:val="FF0000"/>
              </w:rPr>
            </w:pPr>
          </w:p>
        </w:tc>
        <w:tc>
          <w:tcPr>
            <w:tcW w:w="312" w:type="dxa"/>
          </w:tcPr>
          <w:p w14:paraId="433C947E" w14:textId="16B22D63" w:rsidR="006E0A6D" w:rsidRPr="002F412F" w:rsidRDefault="006E0A6D" w:rsidP="004D59DC">
            <w:pPr>
              <w:rPr>
                <w:rFonts w:ascii="Verdana" w:hAnsi="Verdana"/>
                <w:b/>
              </w:rPr>
            </w:pPr>
            <w:r>
              <w:rPr>
                <w:rFonts w:ascii="Verdana" w:hAnsi="Verdana"/>
                <w:b/>
              </w:rPr>
              <w:t>.</w:t>
            </w:r>
          </w:p>
        </w:tc>
        <w:tc>
          <w:tcPr>
            <w:tcW w:w="8618" w:type="dxa"/>
          </w:tcPr>
          <w:p w14:paraId="368CF025" w14:textId="1AD371B8" w:rsidR="006E0A6D" w:rsidRDefault="00AB7503" w:rsidP="004D59DC">
            <w:pPr>
              <w:pStyle w:val="NoSpacing"/>
            </w:pPr>
            <w:r>
              <w:t>“</w:t>
            </w:r>
            <w:r w:rsidR="00EF4D29">
              <w:t>k</w:t>
            </w:r>
            <w:r>
              <w:t xml:space="preserve">eep </w:t>
            </w:r>
            <w:r w:rsidR="00EF4D29">
              <w:t>w</w:t>
            </w:r>
            <w:r>
              <w:t>arm” materials are continuing to be circulated to holders of offers, along with Q+A information to provide re-assurance;</w:t>
            </w:r>
          </w:p>
          <w:p w14:paraId="06197580" w14:textId="04547158" w:rsidR="00AB7503" w:rsidRPr="002F412F" w:rsidRDefault="00AB7503" w:rsidP="004D59DC">
            <w:pPr>
              <w:pStyle w:val="NoSpacing"/>
            </w:pPr>
          </w:p>
        </w:tc>
      </w:tr>
      <w:tr w:rsidR="006E0A6D" w14:paraId="4F584F88" w14:textId="77777777" w:rsidTr="00EF4D29">
        <w:tc>
          <w:tcPr>
            <w:tcW w:w="534" w:type="dxa"/>
          </w:tcPr>
          <w:p w14:paraId="28771CFC" w14:textId="77777777" w:rsidR="006E0A6D" w:rsidRPr="002F412F" w:rsidRDefault="006E0A6D" w:rsidP="004D59DC">
            <w:pPr>
              <w:rPr>
                <w:rFonts w:ascii="Verdana" w:hAnsi="Verdana"/>
                <w:color w:val="FF0000"/>
              </w:rPr>
            </w:pPr>
          </w:p>
        </w:tc>
        <w:tc>
          <w:tcPr>
            <w:tcW w:w="312" w:type="dxa"/>
          </w:tcPr>
          <w:p w14:paraId="7C9FB9B9" w14:textId="4C83EB82" w:rsidR="006E0A6D" w:rsidRPr="002F412F" w:rsidRDefault="006E0A6D" w:rsidP="004D59DC">
            <w:pPr>
              <w:rPr>
                <w:rFonts w:ascii="Verdana" w:hAnsi="Verdana"/>
                <w:b/>
              </w:rPr>
            </w:pPr>
            <w:r>
              <w:rPr>
                <w:rFonts w:ascii="Verdana" w:hAnsi="Verdana"/>
                <w:b/>
              </w:rPr>
              <w:t>.</w:t>
            </w:r>
          </w:p>
        </w:tc>
        <w:tc>
          <w:tcPr>
            <w:tcW w:w="8618" w:type="dxa"/>
          </w:tcPr>
          <w:p w14:paraId="5A9E558E" w14:textId="2E3672CE" w:rsidR="006E0A6D" w:rsidRDefault="004D59DC" w:rsidP="004D59DC">
            <w:pPr>
              <w:pStyle w:val="NoSpacing"/>
            </w:pPr>
            <w:r>
              <w:t>a series of online ‘taster lessons’ (</w:t>
            </w:r>
            <w:r w:rsidR="005B4ED0">
              <w:t>two</w:t>
            </w:r>
            <w:r>
              <w:t xml:space="preserve"> per pathway) had been delivered during the recent half</w:t>
            </w:r>
            <w:r w:rsidR="00EF4D29">
              <w:t>-</w:t>
            </w:r>
            <w:r>
              <w:t>term to give an introduction to a particular topic as well as a “stretch activity” to support transition to pos</w:t>
            </w:r>
            <w:r w:rsidR="00EF4D29">
              <w:t>t</w:t>
            </w:r>
            <w:r>
              <w:t>-16 study;</w:t>
            </w:r>
          </w:p>
          <w:p w14:paraId="16A4E7AB" w14:textId="47D1E72C" w:rsidR="004D59DC" w:rsidRPr="002F412F" w:rsidRDefault="004D59DC" w:rsidP="004D59DC">
            <w:pPr>
              <w:pStyle w:val="NoSpacing"/>
            </w:pPr>
          </w:p>
        </w:tc>
      </w:tr>
      <w:tr w:rsidR="006E0A6D" w14:paraId="2A8CFBCB" w14:textId="77777777" w:rsidTr="00EF4D29">
        <w:tc>
          <w:tcPr>
            <w:tcW w:w="534" w:type="dxa"/>
          </w:tcPr>
          <w:p w14:paraId="3A2D1A00" w14:textId="77777777" w:rsidR="006E0A6D" w:rsidRPr="002F412F" w:rsidRDefault="006E0A6D" w:rsidP="004D59DC">
            <w:pPr>
              <w:rPr>
                <w:rFonts w:ascii="Verdana" w:hAnsi="Verdana"/>
                <w:color w:val="FF0000"/>
              </w:rPr>
            </w:pPr>
          </w:p>
        </w:tc>
        <w:tc>
          <w:tcPr>
            <w:tcW w:w="312" w:type="dxa"/>
          </w:tcPr>
          <w:p w14:paraId="6F4B5581" w14:textId="7BEEAB12" w:rsidR="006E0A6D" w:rsidRPr="002F412F" w:rsidRDefault="006E0A6D" w:rsidP="004D59DC">
            <w:pPr>
              <w:rPr>
                <w:rFonts w:ascii="Verdana" w:hAnsi="Verdana"/>
                <w:b/>
              </w:rPr>
            </w:pPr>
            <w:r>
              <w:rPr>
                <w:rFonts w:ascii="Verdana" w:hAnsi="Verdana"/>
                <w:b/>
              </w:rPr>
              <w:t>.</w:t>
            </w:r>
          </w:p>
        </w:tc>
        <w:tc>
          <w:tcPr>
            <w:tcW w:w="8618" w:type="dxa"/>
          </w:tcPr>
          <w:p w14:paraId="78637D29" w14:textId="4EE94901" w:rsidR="006E0A6D" w:rsidRDefault="004D59DC" w:rsidP="004D59DC">
            <w:pPr>
              <w:pStyle w:val="NoSpacing"/>
            </w:pPr>
            <w:r>
              <w:t xml:space="preserve">marketing campaigns are continuing (Apply Now, Summer Campaign, Enrol Now), but with changes to the types of </w:t>
            </w:r>
            <w:r w:rsidR="005B4ED0">
              <w:t xml:space="preserve">College </w:t>
            </w:r>
            <w:r>
              <w:t xml:space="preserve">expenditure (e.g. </w:t>
            </w:r>
            <w:r w:rsidR="00FE39C0">
              <w:t xml:space="preserve">to finance </w:t>
            </w:r>
            <w:r>
              <w:t>a larger online focus);</w:t>
            </w:r>
          </w:p>
          <w:p w14:paraId="381C238F" w14:textId="657C9B6C" w:rsidR="004D59DC" w:rsidRPr="002F412F" w:rsidRDefault="004D59DC" w:rsidP="004D59DC">
            <w:pPr>
              <w:pStyle w:val="NoSpacing"/>
            </w:pPr>
          </w:p>
        </w:tc>
      </w:tr>
      <w:tr w:rsidR="006E0A6D" w14:paraId="654F3C6B" w14:textId="77777777" w:rsidTr="00EF4D29">
        <w:tc>
          <w:tcPr>
            <w:tcW w:w="534" w:type="dxa"/>
          </w:tcPr>
          <w:p w14:paraId="3D14D0B9" w14:textId="77777777" w:rsidR="006E0A6D" w:rsidRPr="002F412F" w:rsidRDefault="006E0A6D" w:rsidP="004D59DC">
            <w:pPr>
              <w:rPr>
                <w:rFonts w:ascii="Verdana" w:hAnsi="Verdana"/>
                <w:color w:val="FF0000"/>
              </w:rPr>
            </w:pPr>
          </w:p>
        </w:tc>
        <w:tc>
          <w:tcPr>
            <w:tcW w:w="312" w:type="dxa"/>
          </w:tcPr>
          <w:p w14:paraId="629823A5" w14:textId="0E25D15F" w:rsidR="006E0A6D" w:rsidRPr="002F412F" w:rsidRDefault="006E0A6D" w:rsidP="004D59DC">
            <w:pPr>
              <w:rPr>
                <w:rFonts w:ascii="Verdana" w:hAnsi="Verdana"/>
                <w:b/>
              </w:rPr>
            </w:pPr>
            <w:r>
              <w:rPr>
                <w:rFonts w:ascii="Verdana" w:hAnsi="Verdana"/>
                <w:b/>
              </w:rPr>
              <w:t>.</w:t>
            </w:r>
          </w:p>
        </w:tc>
        <w:tc>
          <w:tcPr>
            <w:tcW w:w="8618" w:type="dxa"/>
          </w:tcPr>
          <w:p w14:paraId="5E19000F" w14:textId="3654F04B" w:rsidR="006E0A6D" w:rsidRPr="004D59DC" w:rsidRDefault="004D59DC" w:rsidP="004D59DC">
            <w:pPr>
              <w:pStyle w:val="NoSpacing"/>
              <w:rPr>
                <w:i/>
                <w:iCs/>
              </w:rPr>
            </w:pPr>
            <w:r>
              <w:t>the College is exploring the feasibility of an enlarged</w:t>
            </w:r>
            <w:r w:rsidR="005B4ED0">
              <w:t xml:space="preserve"> programme of</w:t>
            </w:r>
            <w:r>
              <w:t xml:space="preserve"> ‘taster sessions’ using a college / summer school approach but, given that significant measures to maintain </w:t>
            </w:r>
            <w:r w:rsidR="00EF4D29">
              <w:t>“</w:t>
            </w:r>
            <w:r>
              <w:t>social distancing</w:t>
            </w:r>
            <w:r w:rsidR="00EF4D29">
              <w:t>”</w:t>
            </w:r>
            <w:r>
              <w:t xml:space="preserve"> are likely to be in place for the remainder of the academic year, this may not </w:t>
            </w:r>
            <w:r w:rsidR="00FE39C0">
              <w:t xml:space="preserve">be permitted to </w:t>
            </w:r>
            <w:r>
              <w:t xml:space="preserve">happen; </w:t>
            </w:r>
            <w:r>
              <w:rPr>
                <w:i/>
                <w:iCs/>
              </w:rPr>
              <w:t>and</w:t>
            </w:r>
          </w:p>
          <w:p w14:paraId="019C5400" w14:textId="0974BA3A" w:rsidR="004D59DC" w:rsidRPr="002F412F" w:rsidRDefault="004D59DC" w:rsidP="004D59DC">
            <w:pPr>
              <w:pStyle w:val="NoSpacing"/>
            </w:pPr>
          </w:p>
        </w:tc>
      </w:tr>
      <w:tr w:rsidR="006E0A6D" w14:paraId="03747DFB" w14:textId="77777777" w:rsidTr="00EF4D29">
        <w:tc>
          <w:tcPr>
            <w:tcW w:w="534" w:type="dxa"/>
          </w:tcPr>
          <w:p w14:paraId="6F1F7EEC" w14:textId="77777777" w:rsidR="006E0A6D" w:rsidRPr="002F412F" w:rsidRDefault="006E0A6D" w:rsidP="004D59DC">
            <w:pPr>
              <w:rPr>
                <w:rFonts w:ascii="Verdana" w:hAnsi="Verdana"/>
                <w:color w:val="FF0000"/>
              </w:rPr>
            </w:pPr>
          </w:p>
        </w:tc>
        <w:tc>
          <w:tcPr>
            <w:tcW w:w="312" w:type="dxa"/>
          </w:tcPr>
          <w:p w14:paraId="265517CD" w14:textId="5BDDD87E" w:rsidR="006E0A6D" w:rsidRPr="002F412F" w:rsidRDefault="006E0A6D" w:rsidP="004D59DC">
            <w:pPr>
              <w:rPr>
                <w:rFonts w:ascii="Verdana" w:hAnsi="Verdana"/>
                <w:b/>
              </w:rPr>
            </w:pPr>
            <w:r>
              <w:rPr>
                <w:rFonts w:ascii="Verdana" w:hAnsi="Verdana"/>
                <w:b/>
              </w:rPr>
              <w:t>.</w:t>
            </w:r>
          </w:p>
        </w:tc>
        <w:tc>
          <w:tcPr>
            <w:tcW w:w="8618" w:type="dxa"/>
          </w:tcPr>
          <w:p w14:paraId="297EE06D" w14:textId="006512E2" w:rsidR="004D59DC" w:rsidRPr="002F412F" w:rsidRDefault="004D59DC" w:rsidP="004D59DC">
            <w:pPr>
              <w:pStyle w:val="NoSpacing"/>
            </w:pPr>
            <w:r>
              <w:t xml:space="preserve">a project team had been formed to ‘re-imagine’ enrolment in the context of maintaining </w:t>
            </w:r>
            <w:r w:rsidR="00EF4D29">
              <w:t>“</w:t>
            </w:r>
            <w:r>
              <w:t>social distancing</w:t>
            </w:r>
            <w:r w:rsidR="00EF4D29">
              <w:t>”</w:t>
            </w:r>
            <w:r>
              <w:t xml:space="preserve"> </w:t>
            </w:r>
            <w:r w:rsidR="00FE39C0">
              <w:t xml:space="preserve">with </w:t>
            </w:r>
            <w:r>
              <w:t>the majority of the process taking place online or via telephone calls.</w:t>
            </w:r>
          </w:p>
        </w:tc>
      </w:tr>
    </w:tbl>
    <w:p w14:paraId="2E83DAF3" w14:textId="61DDC1A1" w:rsidR="00FE2767" w:rsidRDefault="00FE2767" w:rsidP="00626F4B">
      <w:pPr>
        <w:rPr>
          <w:rFonts w:ascii="Verdana" w:hAnsi="Verdana"/>
          <w:color w:val="FF0000"/>
        </w:rPr>
      </w:pPr>
    </w:p>
    <w:tbl>
      <w:tblPr>
        <w:tblW w:w="9464" w:type="dxa"/>
        <w:tblCellMar>
          <w:left w:w="10" w:type="dxa"/>
          <w:right w:w="10" w:type="dxa"/>
        </w:tblCellMar>
        <w:tblLook w:val="0000" w:firstRow="0" w:lastRow="0" w:firstColumn="0" w:lastColumn="0" w:noHBand="0" w:noVBand="0"/>
      </w:tblPr>
      <w:tblGrid>
        <w:gridCol w:w="529"/>
        <w:gridCol w:w="8935"/>
      </w:tblGrid>
      <w:tr w:rsidR="004D59DC" w:rsidRPr="004D59DC" w14:paraId="1EF29D1A" w14:textId="77777777" w:rsidTr="00EF4D29">
        <w:tc>
          <w:tcPr>
            <w:tcW w:w="529" w:type="dxa"/>
            <w:shd w:val="clear" w:color="auto" w:fill="auto"/>
            <w:tcMar>
              <w:top w:w="0" w:type="dxa"/>
              <w:left w:w="108" w:type="dxa"/>
              <w:bottom w:w="0" w:type="dxa"/>
              <w:right w:w="108" w:type="dxa"/>
            </w:tcMar>
          </w:tcPr>
          <w:p w14:paraId="363ACFD8" w14:textId="77777777" w:rsidR="004D59DC" w:rsidRPr="004D59DC" w:rsidRDefault="004D59DC" w:rsidP="004D59DC">
            <w:pPr>
              <w:pStyle w:val="NoSpacing"/>
              <w:rPr>
                <w:b/>
                <w:color w:val="FF0000"/>
              </w:rPr>
            </w:pPr>
          </w:p>
        </w:tc>
        <w:tc>
          <w:tcPr>
            <w:tcW w:w="8935" w:type="dxa"/>
            <w:shd w:val="clear" w:color="auto" w:fill="auto"/>
            <w:tcMar>
              <w:top w:w="0" w:type="dxa"/>
              <w:left w:w="108" w:type="dxa"/>
              <w:bottom w:w="0" w:type="dxa"/>
              <w:right w:w="108" w:type="dxa"/>
            </w:tcMar>
          </w:tcPr>
          <w:p w14:paraId="76E82DB2" w14:textId="48ADDD6F" w:rsidR="004D59DC" w:rsidRPr="004D59DC" w:rsidRDefault="004D59DC" w:rsidP="004D59DC">
            <w:pPr>
              <w:rPr>
                <w:rFonts w:ascii="Verdana" w:hAnsi="Verdana"/>
              </w:rPr>
            </w:pPr>
            <w:r w:rsidRPr="004D59DC">
              <w:rPr>
                <w:rFonts w:ascii="Verdana" w:hAnsi="Verdana"/>
              </w:rPr>
              <w:t xml:space="preserve">It was suggested that it is too early to draw firm conclusions on the impact of Covid-19 on student recruitment numbers, and therefore the overall projection at this point is the same as </w:t>
            </w:r>
            <w:r w:rsidR="005B4ED0">
              <w:rPr>
                <w:rFonts w:ascii="Verdana" w:hAnsi="Verdana"/>
              </w:rPr>
              <w:t>that</w:t>
            </w:r>
            <w:r w:rsidRPr="004D59DC">
              <w:rPr>
                <w:rFonts w:ascii="Verdana" w:hAnsi="Verdana"/>
              </w:rPr>
              <w:t xml:space="preserve"> </w:t>
            </w:r>
            <w:r w:rsidR="00EF4D29">
              <w:rPr>
                <w:rFonts w:ascii="Verdana" w:hAnsi="Verdana"/>
              </w:rPr>
              <w:t>reported</w:t>
            </w:r>
            <w:r w:rsidRPr="004D59DC">
              <w:rPr>
                <w:rFonts w:ascii="Verdana" w:hAnsi="Verdana"/>
              </w:rPr>
              <w:t xml:space="preserve"> to the February meeting.  However, a larger number of ‘walk-ins’ is anticipated compared to offers, and a greater degree of turbulence over the first 42 days (i.e. up to the census date) as students </w:t>
            </w:r>
            <w:r w:rsidR="00FE39C0">
              <w:rPr>
                <w:rFonts w:ascii="Verdana" w:hAnsi="Verdana"/>
              </w:rPr>
              <w:t>locate and settle into</w:t>
            </w:r>
            <w:r w:rsidRPr="004D59DC">
              <w:rPr>
                <w:rFonts w:ascii="Verdana" w:hAnsi="Verdana"/>
              </w:rPr>
              <w:t xml:space="preserve"> the most suitable course.</w:t>
            </w:r>
          </w:p>
          <w:p w14:paraId="32650143" w14:textId="77777777" w:rsidR="004D59DC" w:rsidRPr="004D59DC" w:rsidRDefault="004D59DC" w:rsidP="004D59DC">
            <w:pPr>
              <w:rPr>
                <w:rFonts w:ascii="Verdana" w:hAnsi="Verdana"/>
              </w:rPr>
            </w:pPr>
          </w:p>
          <w:p w14:paraId="423FB4A1" w14:textId="1FF5C69E" w:rsidR="004D59DC" w:rsidRDefault="004D59DC" w:rsidP="004D59DC">
            <w:pPr>
              <w:rPr>
                <w:rFonts w:ascii="Verdana" w:hAnsi="Verdana"/>
              </w:rPr>
            </w:pPr>
            <w:r w:rsidRPr="004D59DC">
              <w:rPr>
                <w:rFonts w:ascii="Verdana" w:hAnsi="Verdana"/>
              </w:rPr>
              <w:t xml:space="preserve">In mid-June </w:t>
            </w:r>
            <w:r>
              <w:rPr>
                <w:rFonts w:ascii="Verdana" w:hAnsi="Verdana"/>
              </w:rPr>
              <w:t>th</w:t>
            </w:r>
            <w:r w:rsidRPr="004D59DC">
              <w:rPr>
                <w:rFonts w:ascii="Verdana" w:hAnsi="Verdana"/>
              </w:rPr>
              <w:t>e</w:t>
            </w:r>
            <w:r>
              <w:rPr>
                <w:rFonts w:ascii="Verdana" w:hAnsi="Verdana"/>
              </w:rPr>
              <w:t xml:space="preserve"> College</w:t>
            </w:r>
            <w:r w:rsidRPr="004D59DC">
              <w:rPr>
                <w:rFonts w:ascii="Verdana" w:hAnsi="Verdana"/>
              </w:rPr>
              <w:t xml:space="preserve"> </w:t>
            </w:r>
            <w:r>
              <w:rPr>
                <w:rFonts w:ascii="Verdana" w:hAnsi="Verdana"/>
              </w:rPr>
              <w:t>expects to</w:t>
            </w:r>
            <w:r w:rsidRPr="004D59DC">
              <w:rPr>
                <w:rFonts w:ascii="Verdana" w:hAnsi="Verdana"/>
              </w:rPr>
              <w:t xml:space="preserve"> be able to give a firmer projection of internal progression. </w:t>
            </w:r>
            <w:r>
              <w:rPr>
                <w:rFonts w:ascii="Verdana" w:hAnsi="Verdana"/>
              </w:rPr>
              <w:t xml:space="preserve"> C</w:t>
            </w:r>
            <w:r w:rsidRPr="004D59DC">
              <w:rPr>
                <w:rFonts w:ascii="Verdana" w:hAnsi="Verdana"/>
              </w:rPr>
              <w:t xml:space="preserve">urrent indicators are that retention (i.e. the percentage of students who stay in college following the census date) is looking the same, or marginally better, than the </w:t>
            </w:r>
            <w:r w:rsidR="005B4ED0">
              <w:rPr>
                <w:rFonts w:ascii="Verdana" w:hAnsi="Verdana"/>
              </w:rPr>
              <w:t>equivalent</w:t>
            </w:r>
            <w:r w:rsidRPr="004D59DC">
              <w:rPr>
                <w:rFonts w:ascii="Verdana" w:hAnsi="Verdana"/>
              </w:rPr>
              <w:t xml:space="preserve"> point last year. </w:t>
            </w:r>
          </w:p>
          <w:p w14:paraId="32D14D9A" w14:textId="229ADB3F" w:rsidR="00FE39C0" w:rsidRDefault="00FE39C0" w:rsidP="004D59DC">
            <w:pPr>
              <w:rPr>
                <w:rFonts w:ascii="Verdana" w:hAnsi="Verdana"/>
              </w:rPr>
            </w:pPr>
          </w:p>
          <w:p w14:paraId="29D9D29C" w14:textId="1BC45C8F" w:rsidR="00FE39C0" w:rsidRDefault="00FE39C0" w:rsidP="004D59DC">
            <w:pPr>
              <w:rPr>
                <w:rFonts w:ascii="Verdana" w:hAnsi="Verdana"/>
              </w:rPr>
            </w:pPr>
            <w:r>
              <w:rPr>
                <w:rFonts w:ascii="Verdana" w:hAnsi="Verdana"/>
              </w:rPr>
              <w:t>An overall update on projected enrolment numbers w</w:t>
            </w:r>
            <w:r w:rsidR="00EF4D29">
              <w:rPr>
                <w:rFonts w:ascii="Verdana" w:hAnsi="Verdana"/>
              </w:rPr>
              <w:t>ill</w:t>
            </w:r>
            <w:r>
              <w:rPr>
                <w:rFonts w:ascii="Verdana" w:hAnsi="Verdana"/>
              </w:rPr>
              <w:t xml:space="preserve"> be available by mid-July, and will be circulated to Committee members at that time.</w:t>
            </w:r>
          </w:p>
          <w:p w14:paraId="49D20D9D" w14:textId="77777777" w:rsidR="00582FA9" w:rsidRDefault="00582FA9" w:rsidP="004D59DC">
            <w:pPr>
              <w:rPr>
                <w:rFonts w:ascii="Verdana" w:hAnsi="Verdana"/>
              </w:rPr>
            </w:pPr>
          </w:p>
          <w:p w14:paraId="09445EB9" w14:textId="721F328F" w:rsidR="00582FA9" w:rsidRPr="004D59DC" w:rsidRDefault="00FE39C0" w:rsidP="004D59DC">
            <w:pPr>
              <w:rPr>
                <w:rFonts w:ascii="Verdana" w:hAnsi="Verdana"/>
              </w:rPr>
            </w:pPr>
            <w:r>
              <w:rPr>
                <w:rFonts w:ascii="Verdana" w:hAnsi="Verdana"/>
              </w:rPr>
              <w:t>In response to concern</w:t>
            </w:r>
            <w:r w:rsidR="00582FA9">
              <w:rPr>
                <w:rFonts w:ascii="Verdana" w:hAnsi="Verdana"/>
              </w:rPr>
              <w:t>s raised by members</w:t>
            </w:r>
            <w:r>
              <w:rPr>
                <w:rFonts w:ascii="Verdana" w:hAnsi="Verdana"/>
              </w:rPr>
              <w:t>, it was reported that</w:t>
            </w:r>
            <w:r w:rsidR="00582FA9">
              <w:rPr>
                <w:rFonts w:ascii="Verdana" w:hAnsi="Verdana"/>
              </w:rPr>
              <w:t>:</w:t>
            </w:r>
          </w:p>
        </w:tc>
      </w:tr>
    </w:tbl>
    <w:p w14:paraId="27D530CB" w14:textId="586CD0CB" w:rsidR="00C56348" w:rsidRDefault="00C56348" w:rsidP="00626F4B">
      <w:pPr>
        <w:rPr>
          <w:color w:val="FF0000"/>
        </w:rPr>
      </w:pP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312"/>
        <w:gridCol w:w="8618"/>
      </w:tblGrid>
      <w:tr w:rsidR="006C1EE2" w:rsidRPr="00304F77" w14:paraId="7059E230" w14:textId="77777777" w:rsidTr="008C1123">
        <w:tc>
          <w:tcPr>
            <w:tcW w:w="534" w:type="dxa"/>
          </w:tcPr>
          <w:p w14:paraId="258EE06F" w14:textId="77777777" w:rsidR="006C1EE2" w:rsidRPr="002F412F" w:rsidRDefault="006C1EE2" w:rsidP="00467367">
            <w:pPr>
              <w:rPr>
                <w:rFonts w:ascii="Verdana" w:hAnsi="Verdana"/>
                <w:color w:val="FF0000"/>
              </w:rPr>
            </w:pPr>
          </w:p>
        </w:tc>
        <w:tc>
          <w:tcPr>
            <w:tcW w:w="312" w:type="dxa"/>
          </w:tcPr>
          <w:p w14:paraId="7544D3EB" w14:textId="77777777" w:rsidR="006C1EE2" w:rsidRDefault="006C1EE2" w:rsidP="00467367">
            <w:pPr>
              <w:rPr>
                <w:rFonts w:ascii="Verdana" w:hAnsi="Verdana"/>
                <w:b/>
              </w:rPr>
            </w:pPr>
            <w:r>
              <w:rPr>
                <w:rFonts w:ascii="Verdana" w:hAnsi="Verdana"/>
                <w:b/>
              </w:rPr>
              <w:t>.</w:t>
            </w:r>
          </w:p>
        </w:tc>
        <w:tc>
          <w:tcPr>
            <w:tcW w:w="8618" w:type="dxa"/>
          </w:tcPr>
          <w:p w14:paraId="0D7FD0D8" w14:textId="722477D7" w:rsidR="006C1EE2" w:rsidRDefault="00FE39C0" w:rsidP="00467367">
            <w:pPr>
              <w:pStyle w:val="NoSpacing"/>
            </w:pPr>
            <w:r>
              <w:t>the absence of examined GCSE’s is expected to result in a greater degree of difficulty in enrolling students on to the courses most appropriate to them</w:t>
            </w:r>
            <w:r w:rsidR="00D00B00">
              <w:t>, and may lead to a high</w:t>
            </w:r>
            <w:r w:rsidR="0014062C">
              <w:t>er</w:t>
            </w:r>
            <w:r w:rsidR="00D00B00">
              <w:t xml:space="preserve"> level of course changes at the start of the year;</w:t>
            </w:r>
          </w:p>
          <w:p w14:paraId="7284EBE0" w14:textId="7D1443F4" w:rsidR="00D00B00" w:rsidRPr="00304F77" w:rsidRDefault="00D00B00" w:rsidP="00467367">
            <w:pPr>
              <w:pStyle w:val="NoSpacing"/>
            </w:pPr>
          </w:p>
        </w:tc>
      </w:tr>
      <w:tr w:rsidR="006C1EE2" w:rsidRPr="00304F77" w14:paraId="431F57A1" w14:textId="77777777" w:rsidTr="008C1123">
        <w:tc>
          <w:tcPr>
            <w:tcW w:w="534" w:type="dxa"/>
          </w:tcPr>
          <w:p w14:paraId="43474858" w14:textId="77777777" w:rsidR="006C1EE2" w:rsidRPr="002F412F" w:rsidRDefault="006C1EE2" w:rsidP="00467367">
            <w:pPr>
              <w:rPr>
                <w:rFonts w:ascii="Verdana" w:hAnsi="Verdana"/>
                <w:color w:val="FF0000"/>
              </w:rPr>
            </w:pPr>
          </w:p>
        </w:tc>
        <w:tc>
          <w:tcPr>
            <w:tcW w:w="312" w:type="dxa"/>
          </w:tcPr>
          <w:p w14:paraId="20AF2A04" w14:textId="77777777" w:rsidR="006C1EE2" w:rsidRDefault="006C1EE2" w:rsidP="00467367">
            <w:pPr>
              <w:rPr>
                <w:rFonts w:ascii="Verdana" w:hAnsi="Verdana"/>
                <w:b/>
              </w:rPr>
            </w:pPr>
            <w:r>
              <w:rPr>
                <w:rFonts w:ascii="Verdana" w:hAnsi="Verdana"/>
                <w:b/>
              </w:rPr>
              <w:t>.</w:t>
            </w:r>
          </w:p>
        </w:tc>
        <w:tc>
          <w:tcPr>
            <w:tcW w:w="8618" w:type="dxa"/>
          </w:tcPr>
          <w:p w14:paraId="3EFE76C6" w14:textId="105B8EA6" w:rsidR="006C1EE2" w:rsidRPr="00304F77" w:rsidRDefault="00D00B00" w:rsidP="00467367">
            <w:pPr>
              <w:pStyle w:val="NoSpacing"/>
            </w:pPr>
            <w:r>
              <w:t>a range of issues concerning “social distancing” requirements</w:t>
            </w:r>
            <w:r w:rsidR="0014062C">
              <w:t xml:space="preserve"> are being actively considered</w:t>
            </w:r>
            <w:r>
              <w:t xml:space="preserve">, in particular </w:t>
            </w:r>
            <w:r w:rsidR="00EF4D29">
              <w:t xml:space="preserve">to </w:t>
            </w:r>
            <w:r>
              <w:t>safely accommodat</w:t>
            </w:r>
            <w:r w:rsidR="00EF4D29">
              <w:t>e</w:t>
            </w:r>
            <w:r>
              <w:t>:</w:t>
            </w:r>
          </w:p>
        </w:tc>
      </w:tr>
    </w:tbl>
    <w:p w14:paraId="269E1F1D" w14:textId="77777777" w:rsidR="00D00B00" w:rsidRDefault="00D00B00" w:rsidP="00626F4B">
      <w:pPr>
        <w:rPr>
          <w:color w:val="FF0000"/>
        </w:rPr>
      </w:pPr>
    </w:p>
    <w:tbl>
      <w:tblPr>
        <w:tblStyle w:val="TableGrid"/>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1"/>
        <w:gridCol w:w="284"/>
        <w:gridCol w:w="296"/>
        <w:gridCol w:w="8352"/>
      </w:tblGrid>
      <w:tr w:rsidR="00D00B00" w14:paraId="0D091A36" w14:textId="77777777" w:rsidTr="00EF4D29">
        <w:tc>
          <w:tcPr>
            <w:tcW w:w="561" w:type="dxa"/>
          </w:tcPr>
          <w:p w14:paraId="043636C5" w14:textId="77777777" w:rsidR="00D00B00" w:rsidRPr="00D00B00" w:rsidRDefault="00D00B00" w:rsidP="00626F4B">
            <w:pPr>
              <w:rPr>
                <w:rFonts w:ascii="Verdana" w:hAnsi="Verdana"/>
              </w:rPr>
            </w:pPr>
          </w:p>
        </w:tc>
        <w:tc>
          <w:tcPr>
            <w:tcW w:w="284" w:type="dxa"/>
          </w:tcPr>
          <w:p w14:paraId="2EDFC68F" w14:textId="77777777" w:rsidR="00D00B00" w:rsidRPr="00D00B00" w:rsidRDefault="00D00B00" w:rsidP="00626F4B">
            <w:pPr>
              <w:rPr>
                <w:rFonts w:ascii="Verdana" w:hAnsi="Verdana"/>
              </w:rPr>
            </w:pPr>
          </w:p>
        </w:tc>
        <w:tc>
          <w:tcPr>
            <w:tcW w:w="296" w:type="dxa"/>
          </w:tcPr>
          <w:p w14:paraId="59D12F1E" w14:textId="070ED230" w:rsidR="00D00B00" w:rsidRPr="00D00B00" w:rsidRDefault="00D00B00" w:rsidP="00626F4B">
            <w:pPr>
              <w:rPr>
                <w:rFonts w:ascii="Verdana" w:hAnsi="Verdana"/>
                <w:b/>
                <w:bCs/>
              </w:rPr>
            </w:pPr>
            <w:r w:rsidRPr="00D00B00">
              <w:rPr>
                <w:rFonts w:ascii="Verdana" w:hAnsi="Verdana"/>
                <w:b/>
                <w:bCs/>
              </w:rPr>
              <w:t>.</w:t>
            </w:r>
          </w:p>
        </w:tc>
        <w:tc>
          <w:tcPr>
            <w:tcW w:w="8352" w:type="dxa"/>
          </w:tcPr>
          <w:p w14:paraId="14ACAB68" w14:textId="03E44636" w:rsidR="00D00B00" w:rsidRPr="00D00B00" w:rsidRDefault="00D00B00" w:rsidP="00626F4B">
            <w:pPr>
              <w:rPr>
                <w:rFonts w:ascii="Verdana" w:hAnsi="Verdana"/>
                <w:i/>
                <w:iCs/>
              </w:rPr>
            </w:pPr>
            <w:r>
              <w:rPr>
                <w:rFonts w:ascii="Verdana" w:hAnsi="Verdana"/>
              </w:rPr>
              <w:t xml:space="preserve">around 200 students from 15 June in the current year; </w:t>
            </w:r>
            <w:r w:rsidRPr="00D00B00">
              <w:rPr>
                <w:rFonts w:ascii="Verdana" w:hAnsi="Verdana"/>
                <w:i/>
                <w:iCs/>
              </w:rPr>
              <w:t>and</w:t>
            </w:r>
          </w:p>
          <w:p w14:paraId="49098390" w14:textId="15EBDDE7" w:rsidR="00D00B00" w:rsidRPr="00D00B00" w:rsidRDefault="00D00B00" w:rsidP="00626F4B">
            <w:pPr>
              <w:rPr>
                <w:rFonts w:ascii="Verdana" w:hAnsi="Verdana"/>
              </w:rPr>
            </w:pPr>
          </w:p>
        </w:tc>
      </w:tr>
      <w:tr w:rsidR="00D00B00" w14:paraId="6E3FCED1" w14:textId="77777777" w:rsidTr="00EF4D29">
        <w:tc>
          <w:tcPr>
            <w:tcW w:w="561" w:type="dxa"/>
          </w:tcPr>
          <w:p w14:paraId="313F3680" w14:textId="77777777" w:rsidR="00D00B00" w:rsidRPr="00D00B00" w:rsidRDefault="00D00B00" w:rsidP="00626F4B">
            <w:pPr>
              <w:rPr>
                <w:rFonts w:ascii="Verdana" w:hAnsi="Verdana"/>
              </w:rPr>
            </w:pPr>
          </w:p>
        </w:tc>
        <w:tc>
          <w:tcPr>
            <w:tcW w:w="284" w:type="dxa"/>
          </w:tcPr>
          <w:p w14:paraId="611A9EC5" w14:textId="77777777" w:rsidR="00D00B00" w:rsidRPr="00D00B00" w:rsidRDefault="00D00B00" w:rsidP="00626F4B">
            <w:pPr>
              <w:rPr>
                <w:rFonts w:ascii="Verdana" w:hAnsi="Verdana"/>
              </w:rPr>
            </w:pPr>
          </w:p>
        </w:tc>
        <w:tc>
          <w:tcPr>
            <w:tcW w:w="296" w:type="dxa"/>
          </w:tcPr>
          <w:p w14:paraId="5549D657" w14:textId="5EA21CC7" w:rsidR="00D00B00" w:rsidRPr="00D00B00" w:rsidRDefault="00D00B00" w:rsidP="00626F4B">
            <w:pPr>
              <w:rPr>
                <w:rFonts w:ascii="Verdana" w:hAnsi="Verdana"/>
                <w:b/>
                <w:bCs/>
              </w:rPr>
            </w:pPr>
            <w:r w:rsidRPr="00D00B00">
              <w:rPr>
                <w:rFonts w:ascii="Verdana" w:hAnsi="Verdana"/>
                <w:b/>
                <w:bCs/>
              </w:rPr>
              <w:t>.</w:t>
            </w:r>
          </w:p>
        </w:tc>
        <w:tc>
          <w:tcPr>
            <w:tcW w:w="8352" w:type="dxa"/>
          </w:tcPr>
          <w:p w14:paraId="0CB09B3B" w14:textId="73F4CB59" w:rsidR="00D00B00" w:rsidRPr="00D00B00" w:rsidRDefault="00D00B00" w:rsidP="00626F4B">
            <w:pPr>
              <w:rPr>
                <w:rFonts w:ascii="Verdana" w:hAnsi="Verdana"/>
              </w:rPr>
            </w:pPr>
            <w:r>
              <w:rPr>
                <w:rFonts w:ascii="Verdana" w:hAnsi="Verdana"/>
              </w:rPr>
              <w:t xml:space="preserve">a range of possible numbers at the start of the 2020-21 year, dependent on the public health situation pertaining at the time and the attendant government </w:t>
            </w:r>
            <w:r w:rsidR="0014062C">
              <w:rPr>
                <w:rFonts w:ascii="Verdana" w:hAnsi="Verdana"/>
              </w:rPr>
              <w:t>guidance</w:t>
            </w:r>
            <w:r>
              <w:rPr>
                <w:rFonts w:ascii="Verdana" w:hAnsi="Verdana"/>
              </w:rPr>
              <w:t>.</w:t>
            </w:r>
          </w:p>
        </w:tc>
      </w:tr>
    </w:tbl>
    <w:p w14:paraId="0BCFEA29" w14:textId="77777777" w:rsidR="00D00B00" w:rsidRDefault="00D00B00" w:rsidP="00626F4B">
      <w:pPr>
        <w:rPr>
          <w:color w:val="FF0000"/>
        </w:rPr>
      </w:pPr>
    </w:p>
    <w:tbl>
      <w:tblPr>
        <w:tblW w:w="9464" w:type="dxa"/>
        <w:tblCellMar>
          <w:left w:w="10" w:type="dxa"/>
          <w:right w:w="10" w:type="dxa"/>
        </w:tblCellMar>
        <w:tblLook w:val="0000" w:firstRow="0" w:lastRow="0" w:firstColumn="0" w:lastColumn="0" w:noHBand="0" w:noVBand="0"/>
      </w:tblPr>
      <w:tblGrid>
        <w:gridCol w:w="529"/>
        <w:gridCol w:w="8935"/>
      </w:tblGrid>
      <w:tr w:rsidR="006C1EE2" w:rsidRPr="006D35B2" w14:paraId="237010F0" w14:textId="77777777" w:rsidTr="00EF4D29">
        <w:tc>
          <w:tcPr>
            <w:tcW w:w="529" w:type="dxa"/>
            <w:shd w:val="clear" w:color="auto" w:fill="auto"/>
            <w:tcMar>
              <w:top w:w="0" w:type="dxa"/>
              <w:left w:w="108" w:type="dxa"/>
              <w:bottom w:w="0" w:type="dxa"/>
              <w:right w:w="108" w:type="dxa"/>
            </w:tcMar>
          </w:tcPr>
          <w:p w14:paraId="4759A4B1" w14:textId="6573B6DD" w:rsidR="006C1EE2" w:rsidRDefault="006C1EE2" w:rsidP="00467367">
            <w:pPr>
              <w:pStyle w:val="NoSpacing"/>
              <w:rPr>
                <w:b/>
              </w:rPr>
            </w:pPr>
          </w:p>
        </w:tc>
        <w:tc>
          <w:tcPr>
            <w:tcW w:w="8935" w:type="dxa"/>
            <w:shd w:val="clear" w:color="auto" w:fill="auto"/>
            <w:tcMar>
              <w:top w:w="0" w:type="dxa"/>
              <w:left w:w="108" w:type="dxa"/>
              <w:bottom w:w="0" w:type="dxa"/>
              <w:right w:w="108" w:type="dxa"/>
            </w:tcMar>
          </w:tcPr>
          <w:p w14:paraId="46937EB0" w14:textId="64572B78" w:rsidR="006C1EE2" w:rsidRPr="006D35B2" w:rsidRDefault="00D00B00" w:rsidP="00467367">
            <w:pPr>
              <w:rPr>
                <w:rFonts w:ascii="Verdana" w:hAnsi="Verdana"/>
              </w:rPr>
            </w:pPr>
            <w:r>
              <w:rPr>
                <w:rFonts w:ascii="Verdana" w:hAnsi="Verdana"/>
              </w:rPr>
              <w:t>In relation to the latter, it was commented that:</w:t>
            </w:r>
          </w:p>
        </w:tc>
      </w:tr>
    </w:tbl>
    <w:p w14:paraId="03555DE7" w14:textId="7F2B9553" w:rsidR="006C1EE2" w:rsidRDefault="006C1EE2" w:rsidP="00626F4B">
      <w:pPr>
        <w:rPr>
          <w:color w:val="FF0000"/>
        </w:rPr>
      </w:pPr>
    </w:p>
    <w:tbl>
      <w:tblPr>
        <w:tblStyle w:val="TableGrid"/>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1"/>
        <w:gridCol w:w="296"/>
        <w:gridCol w:w="8352"/>
      </w:tblGrid>
      <w:tr w:rsidR="008C1123" w:rsidRPr="00D00B00" w14:paraId="1FD9B19B" w14:textId="77777777" w:rsidTr="008C1123">
        <w:tc>
          <w:tcPr>
            <w:tcW w:w="561" w:type="dxa"/>
          </w:tcPr>
          <w:p w14:paraId="04A40CD7" w14:textId="77777777" w:rsidR="008C1123" w:rsidRPr="00D00B00" w:rsidRDefault="008C1123" w:rsidP="00467367">
            <w:pPr>
              <w:rPr>
                <w:rFonts w:ascii="Verdana" w:hAnsi="Verdana"/>
              </w:rPr>
            </w:pPr>
          </w:p>
        </w:tc>
        <w:tc>
          <w:tcPr>
            <w:tcW w:w="296" w:type="dxa"/>
          </w:tcPr>
          <w:p w14:paraId="58E0A93E" w14:textId="77777777" w:rsidR="008C1123" w:rsidRPr="00D00B00" w:rsidRDefault="008C1123" w:rsidP="00467367">
            <w:pPr>
              <w:rPr>
                <w:rFonts w:ascii="Verdana" w:hAnsi="Verdana"/>
                <w:b/>
                <w:bCs/>
              </w:rPr>
            </w:pPr>
            <w:r w:rsidRPr="00D00B00">
              <w:rPr>
                <w:rFonts w:ascii="Verdana" w:hAnsi="Verdana"/>
                <w:b/>
                <w:bCs/>
              </w:rPr>
              <w:t>.</w:t>
            </w:r>
          </w:p>
        </w:tc>
        <w:tc>
          <w:tcPr>
            <w:tcW w:w="8352" w:type="dxa"/>
          </w:tcPr>
          <w:p w14:paraId="6828B471" w14:textId="77777777" w:rsidR="008C1123" w:rsidRDefault="008C1123" w:rsidP="00467367">
            <w:pPr>
              <w:rPr>
                <w:rFonts w:ascii="Verdana" w:hAnsi="Verdana"/>
              </w:rPr>
            </w:pPr>
            <w:r>
              <w:rPr>
                <w:rFonts w:ascii="Verdana" w:hAnsi="Verdana"/>
              </w:rPr>
              <w:t>all providers will be similarly affected;</w:t>
            </w:r>
          </w:p>
          <w:p w14:paraId="7953D32F" w14:textId="15012658" w:rsidR="008C1123" w:rsidRPr="00D00B00" w:rsidRDefault="008C1123" w:rsidP="00467367">
            <w:pPr>
              <w:rPr>
                <w:rFonts w:ascii="Verdana" w:hAnsi="Verdana"/>
              </w:rPr>
            </w:pPr>
          </w:p>
        </w:tc>
      </w:tr>
      <w:tr w:rsidR="008C1123" w:rsidRPr="00D00B00" w14:paraId="1F7C8603" w14:textId="77777777" w:rsidTr="008C1123">
        <w:tc>
          <w:tcPr>
            <w:tcW w:w="561" w:type="dxa"/>
          </w:tcPr>
          <w:p w14:paraId="7D7F40C6" w14:textId="77777777" w:rsidR="008C1123" w:rsidRPr="00D00B00" w:rsidRDefault="008C1123" w:rsidP="00467367">
            <w:pPr>
              <w:rPr>
                <w:rFonts w:ascii="Verdana" w:hAnsi="Verdana"/>
              </w:rPr>
            </w:pPr>
          </w:p>
        </w:tc>
        <w:tc>
          <w:tcPr>
            <w:tcW w:w="296" w:type="dxa"/>
          </w:tcPr>
          <w:p w14:paraId="0C183119" w14:textId="77777777" w:rsidR="008C1123" w:rsidRPr="00D00B00" w:rsidRDefault="008C1123" w:rsidP="00467367">
            <w:pPr>
              <w:rPr>
                <w:rFonts w:ascii="Verdana" w:hAnsi="Verdana"/>
                <w:b/>
                <w:bCs/>
              </w:rPr>
            </w:pPr>
            <w:r w:rsidRPr="00D00B00">
              <w:rPr>
                <w:rFonts w:ascii="Verdana" w:hAnsi="Verdana"/>
                <w:b/>
                <w:bCs/>
              </w:rPr>
              <w:t>.</w:t>
            </w:r>
          </w:p>
        </w:tc>
        <w:tc>
          <w:tcPr>
            <w:tcW w:w="8352" w:type="dxa"/>
          </w:tcPr>
          <w:p w14:paraId="467C4B03" w14:textId="508334CE" w:rsidR="008C1123" w:rsidRDefault="008C1123" w:rsidP="00467367">
            <w:pPr>
              <w:rPr>
                <w:rFonts w:ascii="Verdana" w:hAnsi="Verdana"/>
              </w:rPr>
            </w:pPr>
            <w:r>
              <w:rPr>
                <w:rFonts w:ascii="Verdana" w:hAnsi="Verdana"/>
              </w:rPr>
              <w:t>a mix of face-to-face and online learning may be needed, concerning which it was reported that attendance had not suffered as a result of the switch to remote operation, and that the College is building up a wealth of experience in, and a strong capacity for, delivering online learning;</w:t>
            </w:r>
          </w:p>
          <w:p w14:paraId="4A4A4D19" w14:textId="01D79503" w:rsidR="008C1123" w:rsidRPr="00D00B00" w:rsidRDefault="008C1123" w:rsidP="00467367">
            <w:pPr>
              <w:rPr>
                <w:rFonts w:ascii="Verdana" w:hAnsi="Verdana"/>
              </w:rPr>
            </w:pPr>
          </w:p>
        </w:tc>
      </w:tr>
      <w:tr w:rsidR="008C1123" w:rsidRPr="00D00B00" w14:paraId="76CBEE2D" w14:textId="77777777" w:rsidTr="008C1123">
        <w:tc>
          <w:tcPr>
            <w:tcW w:w="561" w:type="dxa"/>
          </w:tcPr>
          <w:p w14:paraId="0135B553" w14:textId="77777777" w:rsidR="008C1123" w:rsidRPr="00D00B00" w:rsidRDefault="008C1123" w:rsidP="00467367">
            <w:pPr>
              <w:rPr>
                <w:rFonts w:ascii="Verdana" w:hAnsi="Verdana"/>
              </w:rPr>
            </w:pPr>
          </w:p>
        </w:tc>
        <w:tc>
          <w:tcPr>
            <w:tcW w:w="296" w:type="dxa"/>
          </w:tcPr>
          <w:p w14:paraId="52AC6D04" w14:textId="16D3B25D" w:rsidR="008C1123" w:rsidRPr="00D00B00" w:rsidRDefault="008C1123" w:rsidP="00467367">
            <w:pPr>
              <w:rPr>
                <w:rFonts w:ascii="Verdana" w:hAnsi="Verdana"/>
                <w:b/>
                <w:bCs/>
              </w:rPr>
            </w:pPr>
            <w:r>
              <w:rPr>
                <w:rFonts w:ascii="Verdana" w:hAnsi="Verdana"/>
                <w:b/>
                <w:bCs/>
              </w:rPr>
              <w:t>.</w:t>
            </w:r>
          </w:p>
        </w:tc>
        <w:tc>
          <w:tcPr>
            <w:tcW w:w="8352" w:type="dxa"/>
          </w:tcPr>
          <w:p w14:paraId="1D8C60A5" w14:textId="0B688A25" w:rsidR="008C1123" w:rsidRDefault="008C1123" w:rsidP="00467367">
            <w:pPr>
              <w:rPr>
                <w:rFonts w:ascii="Verdana" w:hAnsi="Verdana"/>
              </w:rPr>
            </w:pPr>
            <w:r>
              <w:rPr>
                <w:rFonts w:ascii="Verdana" w:hAnsi="Verdana"/>
              </w:rPr>
              <w:t>budgetary provision will need to be made for possible Saturday and evening teaching hours, as well as for “summer school” activities;</w:t>
            </w:r>
          </w:p>
          <w:p w14:paraId="3BDF0B94" w14:textId="32A5CBE8" w:rsidR="008C1123" w:rsidRPr="00D00B00" w:rsidRDefault="008C1123" w:rsidP="00467367">
            <w:pPr>
              <w:rPr>
                <w:rFonts w:ascii="Verdana" w:hAnsi="Verdana"/>
              </w:rPr>
            </w:pPr>
          </w:p>
        </w:tc>
      </w:tr>
      <w:tr w:rsidR="008C1123" w:rsidRPr="00D00B00" w14:paraId="5338B300" w14:textId="77777777" w:rsidTr="008C1123">
        <w:tc>
          <w:tcPr>
            <w:tcW w:w="561" w:type="dxa"/>
          </w:tcPr>
          <w:p w14:paraId="087D2425" w14:textId="77777777" w:rsidR="008C1123" w:rsidRPr="00D00B00" w:rsidRDefault="008C1123" w:rsidP="00467367">
            <w:pPr>
              <w:rPr>
                <w:rFonts w:ascii="Verdana" w:hAnsi="Verdana"/>
              </w:rPr>
            </w:pPr>
          </w:p>
        </w:tc>
        <w:tc>
          <w:tcPr>
            <w:tcW w:w="296" w:type="dxa"/>
          </w:tcPr>
          <w:p w14:paraId="0FE55287" w14:textId="526E65E9" w:rsidR="008C1123" w:rsidRPr="00D00B00" w:rsidRDefault="008C1123" w:rsidP="00467367">
            <w:pPr>
              <w:rPr>
                <w:rFonts w:ascii="Verdana" w:hAnsi="Verdana"/>
                <w:b/>
                <w:bCs/>
              </w:rPr>
            </w:pPr>
            <w:r>
              <w:rPr>
                <w:rFonts w:ascii="Verdana" w:hAnsi="Verdana"/>
                <w:b/>
                <w:bCs/>
              </w:rPr>
              <w:t>.</w:t>
            </w:r>
          </w:p>
        </w:tc>
        <w:tc>
          <w:tcPr>
            <w:tcW w:w="8352" w:type="dxa"/>
          </w:tcPr>
          <w:p w14:paraId="1259BC85" w14:textId="77777777" w:rsidR="008C1123" w:rsidRDefault="008C1123" w:rsidP="00467367">
            <w:pPr>
              <w:rPr>
                <w:rFonts w:ascii="Verdana" w:hAnsi="Verdana"/>
              </w:rPr>
            </w:pPr>
            <w:r>
              <w:rPr>
                <w:rFonts w:ascii="Verdana" w:hAnsi="Verdana"/>
              </w:rPr>
              <w:t>continuing contact with students unable to attend on a regular face-to-face basis is crucial;</w:t>
            </w:r>
          </w:p>
          <w:p w14:paraId="6B9BCDF2" w14:textId="28E272C5" w:rsidR="008C1123" w:rsidRPr="00D00B00" w:rsidRDefault="008C1123" w:rsidP="00467367">
            <w:pPr>
              <w:rPr>
                <w:rFonts w:ascii="Verdana" w:hAnsi="Verdana"/>
              </w:rPr>
            </w:pPr>
            <w:bookmarkStart w:id="0" w:name="_GoBack"/>
            <w:bookmarkEnd w:id="0"/>
          </w:p>
        </w:tc>
      </w:tr>
      <w:tr w:rsidR="008C1123" w:rsidRPr="00D00B00" w14:paraId="3CFDA825" w14:textId="77777777" w:rsidTr="008C1123">
        <w:tc>
          <w:tcPr>
            <w:tcW w:w="561" w:type="dxa"/>
          </w:tcPr>
          <w:p w14:paraId="0E3BC969" w14:textId="77777777" w:rsidR="008C1123" w:rsidRPr="00D00B00" w:rsidRDefault="008C1123" w:rsidP="00467367">
            <w:pPr>
              <w:rPr>
                <w:rFonts w:ascii="Verdana" w:hAnsi="Verdana"/>
              </w:rPr>
            </w:pPr>
          </w:p>
        </w:tc>
        <w:tc>
          <w:tcPr>
            <w:tcW w:w="296" w:type="dxa"/>
          </w:tcPr>
          <w:p w14:paraId="77AFC23F" w14:textId="70488A76" w:rsidR="008C1123" w:rsidRPr="00D00B00" w:rsidRDefault="008C1123" w:rsidP="00467367">
            <w:pPr>
              <w:rPr>
                <w:rFonts w:ascii="Verdana" w:hAnsi="Verdana"/>
                <w:b/>
                <w:bCs/>
              </w:rPr>
            </w:pPr>
            <w:r>
              <w:rPr>
                <w:rFonts w:ascii="Verdana" w:hAnsi="Verdana"/>
                <w:b/>
                <w:bCs/>
              </w:rPr>
              <w:t>.</w:t>
            </w:r>
          </w:p>
        </w:tc>
        <w:tc>
          <w:tcPr>
            <w:tcW w:w="8352" w:type="dxa"/>
          </w:tcPr>
          <w:p w14:paraId="083F016A" w14:textId="2CE2BE84" w:rsidR="008C1123" w:rsidRDefault="008C1123" w:rsidP="00467367">
            <w:pPr>
              <w:rPr>
                <w:rFonts w:ascii="Verdana" w:hAnsi="Verdana"/>
              </w:rPr>
            </w:pPr>
            <w:r>
              <w:rPr>
                <w:rFonts w:ascii="Verdana" w:hAnsi="Verdana"/>
              </w:rPr>
              <w:t>how the College promotes a safe environment for learners needs to be communicated effectively to both actual and prospective students and their parents, though this must be adequately updated to reflect developing government guidance;</w:t>
            </w:r>
          </w:p>
          <w:p w14:paraId="2CBBD596" w14:textId="1E2EE61F" w:rsidR="008C1123" w:rsidRPr="00D00B00" w:rsidRDefault="008C1123" w:rsidP="00467367">
            <w:pPr>
              <w:rPr>
                <w:rFonts w:ascii="Verdana" w:hAnsi="Verdana"/>
              </w:rPr>
            </w:pPr>
          </w:p>
        </w:tc>
      </w:tr>
      <w:tr w:rsidR="008C1123" w:rsidRPr="00D00B00" w14:paraId="33DF412A" w14:textId="77777777" w:rsidTr="008C1123">
        <w:tc>
          <w:tcPr>
            <w:tcW w:w="561" w:type="dxa"/>
          </w:tcPr>
          <w:p w14:paraId="6A28664F" w14:textId="77777777" w:rsidR="008C1123" w:rsidRPr="00D00B00" w:rsidRDefault="008C1123" w:rsidP="00467367">
            <w:pPr>
              <w:rPr>
                <w:rFonts w:ascii="Verdana" w:hAnsi="Verdana"/>
              </w:rPr>
            </w:pPr>
          </w:p>
        </w:tc>
        <w:tc>
          <w:tcPr>
            <w:tcW w:w="296" w:type="dxa"/>
          </w:tcPr>
          <w:p w14:paraId="69640A92" w14:textId="29F4C382" w:rsidR="008C1123" w:rsidRPr="00D00B00" w:rsidRDefault="008C1123" w:rsidP="00467367">
            <w:pPr>
              <w:rPr>
                <w:rFonts w:ascii="Verdana" w:hAnsi="Verdana"/>
                <w:b/>
                <w:bCs/>
              </w:rPr>
            </w:pPr>
            <w:r>
              <w:rPr>
                <w:rFonts w:ascii="Verdana" w:hAnsi="Verdana"/>
                <w:b/>
                <w:bCs/>
              </w:rPr>
              <w:t>.</w:t>
            </w:r>
          </w:p>
        </w:tc>
        <w:tc>
          <w:tcPr>
            <w:tcW w:w="8352" w:type="dxa"/>
          </w:tcPr>
          <w:p w14:paraId="3DF67B26" w14:textId="329E46A8" w:rsidR="008C1123" w:rsidRPr="00D00B00" w:rsidRDefault="008C1123" w:rsidP="00467367">
            <w:pPr>
              <w:rPr>
                <w:rFonts w:ascii="Verdana" w:hAnsi="Verdana"/>
              </w:rPr>
            </w:pPr>
            <w:r>
              <w:rPr>
                <w:rFonts w:ascii="Verdana" w:hAnsi="Verdana"/>
              </w:rPr>
              <w:t>there are implications for the College’s well-being programme for students, in particular around developing appropriate resilience, as well as dealing with adverse events (e.g. bereavement).</w:t>
            </w:r>
          </w:p>
        </w:tc>
      </w:tr>
    </w:tbl>
    <w:p w14:paraId="460C7F39" w14:textId="18D914B6" w:rsidR="00D00B00" w:rsidRDefault="00D00B00" w:rsidP="00626F4B">
      <w:pPr>
        <w:rPr>
          <w:color w:val="FF0000"/>
        </w:rPr>
      </w:pPr>
    </w:p>
    <w:tbl>
      <w:tblPr>
        <w:tblW w:w="9464" w:type="dxa"/>
        <w:tblCellMar>
          <w:left w:w="10" w:type="dxa"/>
          <w:right w:w="10" w:type="dxa"/>
        </w:tblCellMar>
        <w:tblLook w:val="0000" w:firstRow="0" w:lastRow="0" w:firstColumn="0" w:lastColumn="0" w:noHBand="0" w:noVBand="0"/>
      </w:tblPr>
      <w:tblGrid>
        <w:gridCol w:w="529"/>
        <w:gridCol w:w="8935"/>
      </w:tblGrid>
      <w:tr w:rsidR="007850C0" w:rsidRPr="006D35B2" w14:paraId="5F3D0BF4" w14:textId="77777777" w:rsidTr="005A1072">
        <w:tc>
          <w:tcPr>
            <w:tcW w:w="529" w:type="dxa"/>
            <w:shd w:val="clear" w:color="auto" w:fill="auto"/>
            <w:tcMar>
              <w:top w:w="0" w:type="dxa"/>
              <w:left w:w="108" w:type="dxa"/>
              <w:bottom w:w="0" w:type="dxa"/>
              <w:right w:w="108" w:type="dxa"/>
            </w:tcMar>
          </w:tcPr>
          <w:p w14:paraId="1B662FCA" w14:textId="77777777" w:rsidR="007850C0" w:rsidRDefault="007850C0" w:rsidP="00467367">
            <w:pPr>
              <w:pStyle w:val="NoSpacing"/>
              <w:rPr>
                <w:b/>
              </w:rPr>
            </w:pPr>
          </w:p>
        </w:tc>
        <w:tc>
          <w:tcPr>
            <w:tcW w:w="8935" w:type="dxa"/>
            <w:shd w:val="clear" w:color="auto" w:fill="auto"/>
            <w:tcMar>
              <w:top w:w="0" w:type="dxa"/>
              <w:left w:w="108" w:type="dxa"/>
              <w:bottom w:w="0" w:type="dxa"/>
              <w:right w:w="108" w:type="dxa"/>
            </w:tcMar>
          </w:tcPr>
          <w:p w14:paraId="3A4409E9" w14:textId="2FAC6A61" w:rsidR="007850C0" w:rsidRPr="006D35B2" w:rsidRDefault="00DB05B3" w:rsidP="00467367">
            <w:pPr>
              <w:rPr>
                <w:rFonts w:ascii="Verdana" w:hAnsi="Verdana"/>
              </w:rPr>
            </w:pPr>
            <w:r>
              <w:rPr>
                <w:rFonts w:ascii="Verdana" w:hAnsi="Verdana"/>
              </w:rPr>
              <w:t>In response to a question concerning how staff view a return to face-to-face working, it was reported that:</w:t>
            </w:r>
          </w:p>
        </w:tc>
      </w:tr>
    </w:tbl>
    <w:p w14:paraId="5AFC4815" w14:textId="30E8E4A0" w:rsidR="007850C0" w:rsidRDefault="007850C0" w:rsidP="00626F4B">
      <w:pPr>
        <w:rPr>
          <w:color w:val="FF0000"/>
        </w:rPr>
      </w:pP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312"/>
        <w:gridCol w:w="8618"/>
      </w:tblGrid>
      <w:tr w:rsidR="00DB05B3" w:rsidRPr="00304F77" w14:paraId="34B98DB0" w14:textId="77777777" w:rsidTr="005A1072">
        <w:tc>
          <w:tcPr>
            <w:tcW w:w="534" w:type="dxa"/>
          </w:tcPr>
          <w:p w14:paraId="5F506037" w14:textId="77777777" w:rsidR="00DB05B3" w:rsidRPr="002F412F" w:rsidRDefault="00DB05B3" w:rsidP="00467367">
            <w:pPr>
              <w:rPr>
                <w:rFonts w:ascii="Verdana" w:hAnsi="Verdana"/>
                <w:color w:val="FF0000"/>
              </w:rPr>
            </w:pPr>
          </w:p>
        </w:tc>
        <w:tc>
          <w:tcPr>
            <w:tcW w:w="312" w:type="dxa"/>
          </w:tcPr>
          <w:p w14:paraId="298807B5" w14:textId="77777777" w:rsidR="00DB05B3" w:rsidRDefault="00DB05B3" w:rsidP="00467367">
            <w:pPr>
              <w:rPr>
                <w:rFonts w:ascii="Verdana" w:hAnsi="Verdana"/>
                <w:b/>
              </w:rPr>
            </w:pPr>
            <w:r>
              <w:rPr>
                <w:rFonts w:ascii="Verdana" w:hAnsi="Verdana"/>
                <w:b/>
              </w:rPr>
              <w:t>.</w:t>
            </w:r>
          </w:p>
        </w:tc>
        <w:tc>
          <w:tcPr>
            <w:tcW w:w="8618" w:type="dxa"/>
          </w:tcPr>
          <w:p w14:paraId="5FCB9D6E" w14:textId="689FFC26" w:rsidR="00DB05B3" w:rsidRPr="00DB05B3" w:rsidRDefault="00DB05B3" w:rsidP="00467367">
            <w:pPr>
              <w:pStyle w:val="NoSpacing"/>
              <w:rPr>
                <w:i/>
                <w:iCs/>
              </w:rPr>
            </w:pPr>
            <w:r>
              <w:t xml:space="preserve">an audit had been conducted of the circumstances applying to each member of staff; </w:t>
            </w:r>
            <w:r>
              <w:rPr>
                <w:i/>
                <w:iCs/>
              </w:rPr>
              <w:t>and</w:t>
            </w:r>
          </w:p>
          <w:p w14:paraId="2589DB94" w14:textId="41E09547" w:rsidR="00DB05B3" w:rsidRPr="00304F77" w:rsidRDefault="00DB05B3" w:rsidP="00467367">
            <w:pPr>
              <w:pStyle w:val="NoSpacing"/>
            </w:pPr>
          </w:p>
        </w:tc>
      </w:tr>
      <w:tr w:rsidR="00DB05B3" w:rsidRPr="00304F77" w14:paraId="6B8C8354" w14:textId="77777777" w:rsidTr="005A1072">
        <w:tc>
          <w:tcPr>
            <w:tcW w:w="534" w:type="dxa"/>
          </w:tcPr>
          <w:p w14:paraId="4D7D795F" w14:textId="77777777" w:rsidR="00DB05B3" w:rsidRPr="002F412F" w:rsidRDefault="00DB05B3" w:rsidP="00467367">
            <w:pPr>
              <w:rPr>
                <w:rFonts w:ascii="Verdana" w:hAnsi="Verdana"/>
                <w:color w:val="FF0000"/>
              </w:rPr>
            </w:pPr>
          </w:p>
        </w:tc>
        <w:tc>
          <w:tcPr>
            <w:tcW w:w="312" w:type="dxa"/>
          </w:tcPr>
          <w:p w14:paraId="61A60295" w14:textId="77777777" w:rsidR="00DB05B3" w:rsidRDefault="00DB05B3" w:rsidP="00467367">
            <w:pPr>
              <w:rPr>
                <w:rFonts w:ascii="Verdana" w:hAnsi="Verdana"/>
                <w:b/>
              </w:rPr>
            </w:pPr>
            <w:r>
              <w:rPr>
                <w:rFonts w:ascii="Verdana" w:hAnsi="Verdana"/>
                <w:b/>
              </w:rPr>
              <w:t>.</w:t>
            </w:r>
          </w:p>
        </w:tc>
        <w:tc>
          <w:tcPr>
            <w:tcW w:w="8618" w:type="dxa"/>
          </w:tcPr>
          <w:p w14:paraId="38BDFC80" w14:textId="2AAA07B2" w:rsidR="00DB05B3" w:rsidRPr="00304F77" w:rsidRDefault="00DB05B3" w:rsidP="00467367">
            <w:pPr>
              <w:pStyle w:val="NoSpacing"/>
            </w:pPr>
            <w:r>
              <w:t>staff representatives, notably the NEU, had actively participated in the process of ensuring that the College creates and maintains a safe working environment, and are supportive of the measures being taken (which</w:t>
            </w:r>
            <w:r w:rsidR="0014062C">
              <w:t xml:space="preserve"> in many instances</w:t>
            </w:r>
            <w:r>
              <w:t xml:space="preserve"> exceed those laid down in national guidelines).</w:t>
            </w:r>
          </w:p>
        </w:tc>
      </w:tr>
    </w:tbl>
    <w:p w14:paraId="71979587" w14:textId="6A898D6A" w:rsidR="00DB05B3" w:rsidRDefault="00DB05B3" w:rsidP="00626F4B">
      <w:pPr>
        <w:rPr>
          <w:color w:val="FF0000"/>
        </w:rPr>
      </w:pPr>
    </w:p>
    <w:tbl>
      <w:tblPr>
        <w:tblW w:w="9464" w:type="dxa"/>
        <w:tblCellMar>
          <w:left w:w="10" w:type="dxa"/>
          <w:right w:w="10" w:type="dxa"/>
        </w:tblCellMar>
        <w:tblLook w:val="0000" w:firstRow="0" w:lastRow="0" w:firstColumn="0" w:lastColumn="0" w:noHBand="0" w:noVBand="0"/>
      </w:tblPr>
      <w:tblGrid>
        <w:gridCol w:w="529"/>
        <w:gridCol w:w="8935"/>
      </w:tblGrid>
      <w:tr w:rsidR="00DB05B3" w:rsidRPr="006D35B2" w14:paraId="780C4D53" w14:textId="77777777" w:rsidTr="005A1072">
        <w:tc>
          <w:tcPr>
            <w:tcW w:w="529" w:type="dxa"/>
            <w:shd w:val="clear" w:color="auto" w:fill="auto"/>
            <w:tcMar>
              <w:top w:w="0" w:type="dxa"/>
              <w:left w:w="108" w:type="dxa"/>
              <w:bottom w:w="0" w:type="dxa"/>
              <w:right w:w="108" w:type="dxa"/>
            </w:tcMar>
          </w:tcPr>
          <w:p w14:paraId="4F45EE1F" w14:textId="77777777" w:rsidR="00DB05B3" w:rsidRDefault="00DB05B3" w:rsidP="00467367">
            <w:pPr>
              <w:pStyle w:val="NoSpacing"/>
              <w:rPr>
                <w:b/>
              </w:rPr>
            </w:pPr>
          </w:p>
        </w:tc>
        <w:tc>
          <w:tcPr>
            <w:tcW w:w="8935" w:type="dxa"/>
            <w:shd w:val="clear" w:color="auto" w:fill="auto"/>
            <w:tcMar>
              <w:top w:w="0" w:type="dxa"/>
              <w:left w:w="108" w:type="dxa"/>
              <w:bottom w:w="0" w:type="dxa"/>
              <w:right w:w="108" w:type="dxa"/>
            </w:tcMar>
          </w:tcPr>
          <w:p w14:paraId="30647E2F" w14:textId="691C0903" w:rsidR="00DB05B3" w:rsidRDefault="00DB05B3" w:rsidP="00467367">
            <w:pPr>
              <w:rPr>
                <w:rFonts w:ascii="Verdana" w:hAnsi="Verdana"/>
              </w:rPr>
            </w:pPr>
            <w:r>
              <w:rPr>
                <w:rFonts w:ascii="Verdana" w:hAnsi="Verdana"/>
              </w:rPr>
              <w:t>In response to a question concerning the proportion of student enrolments from schools who have sixth forms, and the likely negative effect of Covid-19 on their numbers, it was stated that a princip</w:t>
            </w:r>
            <w:r w:rsidR="0014062C">
              <w:rPr>
                <w:rFonts w:ascii="Verdana" w:hAnsi="Verdana"/>
              </w:rPr>
              <w:t>al</w:t>
            </w:r>
            <w:r>
              <w:rPr>
                <w:rFonts w:ascii="Verdana" w:hAnsi="Verdana"/>
              </w:rPr>
              <w:t xml:space="preserve"> difficulty </w:t>
            </w:r>
            <w:r w:rsidR="005A1072">
              <w:rPr>
                <w:rFonts w:ascii="Verdana" w:hAnsi="Verdana"/>
              </w:rPr>
              <w:t>results from</w:t>
            </w:r>
            <w:r>
              <w:rPr>
                <w:rFonts w:ascii="Verdana" w:hAnsi="Verdana"/>
              </w:rPr>
              <w:t xml:space="preserve"> the Transport for London</w:t>
            </w:r>
            <w:r w:rsidR="005A1072">
              <w:rPr>
                <w:rFonts w:ascii="Verdana" w:hAnsi="Verdana"/>
              </w:rPr>
              <w:t>’s decision</w:t>
            </w:r>
            <w:r>
              <w:rPr>
                <w:rFonts w:ascii="Verdana" w:hAnsi="Verdana"/>
              </w:rPr>
              <w:t xml:space="preserve"> to suspend free travel for young people which might make them reluctant to travel to the College from neighbouring boroughs.  The College’s bursary allocation had been cut by the ESFA on the precise grounds of the availability of free travel.  </w:t>
            </w:r>
            <w:r w:rsidR="00135B35">
              <w:rPr>
                <w:rFonts w:ascii="Verdana" w:hAnsi="Verdana"/>
              </w:rPr>
              <w:t xml:space="preserve">A solution would </w:t>
            </w:r>
            <w:r w:rsidR="0014062C">
              <w:rPr>
                <w:rFonts w:ascii="Verdana" w:hAnsi="Verdana"/>
              </w:rPr>
              <w:t>be to</w:t>
            </w:r>
            <w:r w:rsidR="00135B35">
              <w:rPr>
                <w:rFonts w:ascii="Verdana" w:hAnsi="Verdana"/>
              </w:rPr>
              <w:t xml:space="preserve"> restore</w:t>
            </w:r>
            <w:r w:rsidR="0014062C">
              <w:rPr>
                <w:rFonts w:ascii="Verdana" w:hAnsi="Verdana"/>
              </w:rPr>
              <w:t xml:space="preserve"> it</w:t>
            </w:r>
            <w:r w:rsidR="00135B35">
              <w:rPr>
                <w:rFonts w:ascii="Verdana" w:hAnsi="Verdana"/>
              </w:rPr>
              <w:t xml:space="preserve"> and appl</w:t>
            </w:r>
            <w:r w:rsidR="0014062C">
              <w:rPr>
                <w:rFonts w:ascii="Verdana" w:hAnsi="Verdana"/>
              </w:rPr>
              <w:t>y it</w:t>
            </w:r>
            <w:r w:rsidR="00135B35">
              <w:rPr>
                <w:rFonts w:ascii="Verdana" w:hAnsi="Verdana"/>
              </w:rPr>
              <w:t xml:space="preserve"> to travel costs.  A Sixth Form Colleges’ Association representative has stated that the issue is being pursued with </w:t>
            </w:r>
            <w:r w:rsidR="005A1072">
              <w:rPr>
                <w:rFonts w:ascii="Verdana" w:hAnsi="Verdana"/>
              </w:rPr>
              <w:t xml:space="preserve">government </w:t>
            </w:r>
            <w:r w:rsidR="00135B35">
              <w:rPr>
                <w:rFonts w:ascii="Verdana" w:hAnsi="Verdana"/>
              </w:rPr>
              <w:t>ministers.</w:t>
            </w:r>
          </w:p>
          <w:p w14:paraId="151ADC9C" w14:textId="77777777" w:rsidR="00135B35" w:rsidRDefault="00135B35" w:rsidP="00467367">
            <w:pPr>
              <w:rPr>
                <w:rFonts w:ascii="Verdana" w:hAnsi="Verdana"/>
              </w:rPr>
            </w:pPr>
          </w:p>
          <w:p w14:paraId="48CCE8D0" w14:textId="585FF85A" w:rsidR="00135B35" w:rsidRPr="006D35B2" w:rsidRDefault="00135B35" w:rsidP="00467367">
            <w:pPr>
              <w:rPr>
                <w:rFonts w:ascii="Verdana" w:hAnsi="Verdana"/>
              </w:rPr>
            </w:pPr>
            <w:r>
              <w:rPr>
                <w:rFonts w:ascii="Verdana" w:hAnsi="Verdana"/>
              </w:rPr>
              <w:t xml:space="preserve">The role of the College, especially of extra-curricular staff, in preparing young people for life in the very different world they are moving into was raised by members.  </w:t>
            </w:r>
            <w:r w:rsidR="0014062C">
              <w:rPr>
                <w:rFonts w:ascii="Verdana" w:hAnsi="Verdana"/>
              </w:rPr>
              <w:t>For example, t</w:t>
            </w:r>
            <w:r>
              <w:rPr>
                <w:rFonts w:ascii="Verdana" w:hAnsi="Verdana"/>
              </w:rPr>
              <w:t xml:space="preserve">here are potentially additional opportunities for entry to the most competitive university courses resulting from the restrictions on international </w:t>
            </w:r>
            <w:r w:rsidR="005A1072">
              <w:rPr>
                <w:rFonts w:ascii="Verdana" w:hAnsi="Verdana"/>
              </w:rPr>
              <w:t xml:space="preserve">student </w:t>
            </w:r>
            <w:r>
              <w:rPr>
                <w:rFonts w:ascii="Verdana" w:hAnsi="Verdana"/>
              </w:rPr>
              <w:t xml:space="preserve">travel, and the College’s support of students in formulating their applications might for this reason assume additional importance. </w:t>
            </w:r>
          </w:p>
        </w:tc>
      </w:tr>
    </w:tbl>
    <w:p w14:paraId="185AA2A8" w14:textId="77777777" w:rsidR="00D00B00" w:rsidRDefault="00D00B00" w:rsidP="00626F4B">
      <w:pPr>
        <w:rPr>
          <w:color w:val="FF0000"/>
        </w:rPr>
      </w:pPr>
    </w:p>
    <w:tbl>
      <w:tblPr>
        <w:tblW w:w="9464" w:type="dxa"/>
        <w:tblCellMar>
          <w:left w:w="10" w:type="dxa"/>
          <w:right w:w="10" w:type="dxa"/>
        </w:tblCellMar>
        <w:tblLook w:val="0000" w:firstRow="0" w:lastRow="0" w:firstColumn="0" w:lastColumn="0" w:noHBand="0" w:noVBand="0"/>
      </w:tblPr>
      <w:tblGrid>
        <w:gridCol w:w="529"/>
        <w:gridCol w:w="8935"/>
      </w:tblGrid>
      <w:tr w:rsidR="003D77F2" w:rsidRPr="006D35B2" w14:paraId="6CCC62F6" w14:textId="77777777" w:rsidTr="005A1072">
        <w:tc>
          <w:tcPr>
            <w:tcW w:w="529" w:type="dxa"/>
            <w:shd w:val="clear" w:color="auto" w:fill="auto"/>
            <w:tcMar>
              <w:top w:w="0" w:type="dxa"/>
              <w:left w:w="108" w:type="dxa"/>
              <w:bottom w:w="0" w:type="dxa"/>
              <w:right w:w="108" w:type="dxa"/>
            </w:tcMar>
          </w:tcPr>
          <w:p w14:paraId="18099991" w14:textId="4626AD86" w:rsidR="003D77F2" w:rsidRDefault="003054D2" w:rsidP="005363B3">
            <w:pPr>
              <w:pStyle w:val="NoSpacing"/>
              <w:rPr>
                <w:b/>
              </w:rPr>
            </w:pPr>
            <w:r>
              <w:rPr>
                <w:b/>
              </w:rPr>
              <w:t>7</w:t>
            </w:r>
          </w:p>
        </w:tc>
        <w:tc>
          <w:tcPr>
            <w:tcW w:w="8935" w:type="dxa"/>
            <w:shd w:val="clear" w:color="auto" w:fill="auto"/>
            <w:tcMar>
              <w:top w:w="0" w:type="dxa"/>
              <w:left w:w="108" w:type="dxa"/>
              <w:bottom w:w="0" w:type="dxa"/>
              <w:right w:w="108" w:type="dxa"/>
            </w:tcMar>
          </w:tcPr>
          <w:p w14:paraId="16A768F3" w14:textId="68D2516B" w:rsidR="0062120B" w:rsidRDefault="0062120B" w:rsidP="0062120B">
            <w:pPr>
              <w:rPr>
                <w:rFonts w:ascii="Verdana" w:hAnsi="Verdana"/>
                <w:b/>
              </w:rPr>
            </w:pPr>
            <w:r>
              <w:rPr>
                <w:rFonts w:ascii="Verdana" w:hAnsi="Verdana"/>
                <w:b/>
              </w:rPr>
              <w:t>Work Experience</w:t>
            </w:r>
          </w:p>
          <w:p w14:paraId="3132AC26" w14:textId="77777777" w:rsidR="003D77F2" w:rsidRDefault="003D77F2" w:rsidP="005363B3">
            <w:pPr>
              <w:rPr>
                <w:rFonts w:ascii="Verdana" w:hAnsi="Verdana"/>
              </w:rPr>
            </w:pPr>
          </w:p>
          <w:p w14:paraId="6E9025F3" w14:textId="212107B5" w:rsidR="003D77F2" w:rsidRDefault="00E46EBF" w:rsidP="005363B3">
            <w:pPr>
              <w:rPr>
                <w:rFonts w:ascii="Verdana" w:hAnsi="Verdana"/>
              </w:rPr>
            </w:pPr>
            <w:r>
              <w:rPr>
                <w:rFonts w:ascii="Verdana" w:hAnsi="Verdana"/>
              </w:rPr>
              <w:t xml:space="preserve">A </w:t>
            </w:r>
            <w:r w:rsidR="005B4ED0">
              <w:rPr>
                <w:rFonts w:ascii="Verdana" w:hAnsi="Verdana"/>
              </w:rPr>
              <w:t>report</w:t>
            </w:r>
            <w:r w:rsidR="00006F58">
              <w:rPr>
                <w:rFonts w:ascii="Verdana" w:hAnsi="Verdana"/>
              </w:rPr>
              <w:t xml:space="preserve"> </w:t>
            </w:r>
            <w:r>
              <w:rPr>
                <w:rFonts w:ascii="Verdana" w:hAnsi="Verdana"/>
              </w:rPr>
              <w:t>prepared by the Vice-Principal</w:t>
            </w:r>
            <w:r w:rsidR="00B8738C">
              <w:rPr>
                <w:rFonts w:ascii="Verdana" w:hAnsi="Verdana"/>
              </w:rPr>
              <w:t xml:space="preserve"> (</w:t>
            </w:r>
            <w:r w:rsidRPr="00FE7EDC">
              <w:rPr>
                <w:rFonts w:ascii="Verdana" w:hAnsi="Verdana"/>
              </w:rPr>
              <w:t>Student S</w:t>
            </w:r>
            <w:r>
              <w:rPr>
                <w:rFonts w:ascii="Verdana" w:hAnsi="Verdana"/>
              </w:rPr>
              <w:t>ervices and Recruitment</w:t>
            </w:r>
            <w:r w:rsidR="00006F58">
              <w:rPr>
                <w:rFonts w:ascii="Verdana" w:hAnsi="Verdana"/>
              </w:rPr>
              <w:t>)</w:t>
            </w:r>
            <w:r w:rsidR="00351B4C">
              <w:rPr>
                <w:rFonts w:ascii="Verdana" w:hAnsi="Verdana"/>
              </w:rPr>
              <w:t xml:space="preserve"> was received and considered</w:t>
            </w:r>
            <w:r>
              <w:rPr>
                <w:rFonts w:ascii="Verdana" w:hAnsi="Verdana"/>
              </w:rPr>
              <w:t>.</w:t>
            </w:r>
          </w:p>
          <w:p w14:paraId="17115D33" w14:textId="10313816" w:rsidR="0007175E" w:rsidRDefault="0007175E" w:rsidP="005363B3">
            <w:pPr>
              <w:rPr>
                <w:rFonts w:ascii="Verdana" w:hAnsi="Verdana"/>
              </w:rPr>
            </w:pPr>
          </w:p>
          <w:p w14:paraId="11E72D95" w14:textId="4F5A1E46" w:rsidR="00524ADC" w:rsidRPr="006D35B2" w:rsidRDefault="006941A4" w:rsidP="005363B3">
            <w:pPr>
              <w:rPr>
                <w:rFonts w:ascii="Verdana" w:hAnsi="Verdana"/>
              </w:rPr>
            </w:pPr>
            <w:r>
              <w:rPr>
                <w:rFonts w:ascii="Verdana" w:hAnsi="Verdana"/>
              </w:rPr>
              <w:t>Definitions</w:t>
            </w:r>
            <w:r w:rsidR="003054D2">
              <w:rPr>
                <w:rFonts w:ascii="Verdana" w:hAnsi="Verdana"/>
              </w:rPr>
              <w:t xml:space="preserve"> of the following categories w</w:t>
            </w:r>
            <w:r>
              <w:rPr>
                <w:rFonts w:ascii="Verdana" w:hAnsi="Verdana"/>
              </w:rPr>
              <w:t>ere</w:t>
            </w:r>
            <w:r w:rsidR="003054D2">
              <w:rPr>
                <w:rFonts w:ascii="Verdana" w:hAnsi="Verdana"/>
              </w:rPr>
              <w:t xml:space="preserve"> noted:</w:t>
            </w:r>
          </w:p>
        </w:tc>
      </w:tr>
    </w:tbl>
    <w:p w14:paraId="2A9DA3F0" w14:textId="25DCCCD2" w:rsidR="008735B4" w:rsidRDefault="008735B4" w:rsidP="00626F4B">
      <w:pPr>
        <w:rPr>
          <w:color w:val="FF0000"/>
        </w:rPr>
      </w:pP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312"/>
        <w:gridCol w:w="8618"/>
      </w:tblGrid>
      <w:tr w:rsidR="00304F77" w14:paraId="572497EA" w14:textId="77777777" w:rsidTr="005A1072">
        <w:tc>
          <w:tcPr>
            <w:tcW w:w="534" w:type="dxa"/>
          </w:tcPr>
          <w:p w14:paraId="4B02C386" w14:textId="77777777" w:rsidR="00304F77" w:rsidRPr="002F412F" w:rsidRDefault="00304F77" w:rsidP="005363B3">
            <w:pPr>
              <w:rPr>
                <w:rFonts w:ascii="Verdana" w:hAnsi="Verdana"/>
                <w:color w:val="FF0000"/>
              </w:rPr>
            </w:pPr>
          </w:p>
        </w:tc>
        <w:tc>
          <w:tcPr>
            <w:tcW w:w="312" w:type="dxa"/>
          </w:tcPr>
          <w:p w14:paraId="4413D16F" w14:textId="77777777" w:rsidR="00304F77" w:rsidRDefault="00304F77" w:rsidP="005363B3">
            <w:pPr>
              <w:rPr>
                <w:rFonts w:ascii="Verdana" w:hAnsi="Verdana"/>
                <w:b/>
              </w:rPr>
            </w:pPr>
            <w:r>
              <w:rPr>
                <w:rFonts w:ascii="Verdana" w:hAnsi="Verdana"/>
                <w:b/>
              </w:rPr>
              <w:t>.</w:t>
            </w:r>
          </w:p>
        </w:tc>
        <w:tc>
          <w:tcPr>
            <w:tcW w:w="8618" w:type="dxa"/>
          </w:tcPr>
          <w:p w14:paraId="12B5C6ED" w14:textId="2BC472C2" w:rsidR="00304F77" w:rsidRPr="00304F77" w:rsidRDefault="00304F77" w:rsidP="00304F77">
            <w:pPr>
              <w:rPr>
                <w:rFonts w:ascii="Verdana" w:hAnsi="Verdana" w:cstheme="minorHAnsi"/>
              </w:rPr>
            </w:pPr>
            <w:r w:rsidRPr="00304F77">
              <w:rPr>
                <w:rStyle w:val="Heading4Char"/>
                <w:rFonts w:ascii="Verdana" w:hAnsi="Verdana"/>
                <w:b/>
                <w:color w:val="auto"/>
              </w:rPr>
              <w:t>Work Experience (WEX) Placements</w:t>
            </w:r>
            <w:r>
              <w:rPr>
                <w:rStyle w:val="Heading4Char"/>
                <w:rFonts w:ascii="Verdana" w:hAnsi="Verdana"/>
                <w:i w:val="0"/>
                <w:color w:val="auto"/>
              </w:rPr>
              <w:t xml:space="preserve"> - s</w:t>
            </w:r>
            <w:r w:rsidRPr="00304F77">
              <w:rPr>
                <w:rFonts w:ascii="Verdana" w:hAnsi="Verdana" w:cstheme="minorHAnsi"/>
              </w:rPr>
              <w:t xml:space="preserve">tudents based off-site with an external employer for at least </w:t>
            </w:r>
            <w:r w:rsidR="00235370">
              <w:rPr>
                <w:rFonts w:ascii="Verdana" w:hAnsi="Verdana" w:cstheme="minorHAnsi"/>
              </w:rPr>
              <w:t>five</w:t>
            </w:r>
            <w:r w:rsidRPr="00304F77">
              <w:rPr>
                <w:rFonts w:ascii="Verdana" w:hAnsi="Verdana" w:cstheme="minorHAnsi"/>
              </w:rPr>
              <w:t xml:space="preserve"> working days</w:t>
            </w:r>
            <w:r>
              <w:rPr>
                <w:rFonts w:ascii="Verdana" w:hAnsi="Verdana" w:cstheme="minorHAnsi"/>
              </w:rPr>
              <w:t xml:space="preserve">, engaged in work </w:t>
            </w:r>
            <w:r w:rsidRPr="00304F77">
              <w:rPr>
                <w:rFonts w:ascii="Verdana" w:hAnsi="Verdana" w:cstheme="minorHAnsi"/>
              </w:rPr>
              <w:t>relevant to the</w:t>
            </w:r>
            <w:r>
              <w:rPr>
                <w:rFonts w:ascii="Verdana" w:hAnsi="Verdana" w:cstheme="minorHAnsi"/>
              </w:rPr>
              <w:t>ir</w:t>
            </w:r>
            <w:r w:rsidRPr="00304F77">
              <w:rPr>
                <w:rFonts w:ascii="Verdana" w:hAnsi="Verdana" w:cstheme="minorHAnsi"/>
              </w:rPr>
              <w:t xml:space="preserve"> pathway, study programme or career aspirations.</w:t>
            </w:r>
          </w:p>
          <w:p w14:paraId="47565C6D" w14:textId="735D9511" w:rsidR="00304F77" w:rsidRPr="00304F77" w:rsidRDefault="00304F77" w:rsidP="005363B3">
            <w:pPr>
              <w:pStyle w:val="NoSpacing"/>
            </w:pPr>
          </w:p>
        </w:tc>
      </w:tr>
      <w:tr w:rsidR="00304F77" w14:paraId="2E5F3F42" w14:textId="77777777" w:rsidTr="005A1072">
        <w:tc>
          <w:tcPr>
            <w:tcW w:w="534" w:type="dxa"/>
          </w:tcPr>
          <w:p w14:paraId="37BFD317" w14:textId="77777777" w:rsidR="00304F77" w:rsidRPr="002F412F" w:rsidRDefault="00304F77" w:rsidP="005363B3">
            <w:pPr>
              <w:rPr>
                <w:rFonts w:ascii="Verdana" w:hAnsi="Verdana"/>
                <w:color w:val="FF0000"/>
              </w:rPr>
            </w:pPr>
          </w:p>
        </w:tc>
        <w:tc>
          <w:tcPr>
            <w:tcW w:w="312" w:type="dxa"/>
          </w:tcPr>
          <w:p w14:paraId="5511EEFF" w14:textId="574632BF" w:rsidR="00304F77" w:rsidRDefault="00304F77" w:rsidP="005363B3">
            <w:pPr>
              <w:rPr>
                <w:rFonts w:ascii="Verdana" w:hAnsi="Verdana"/>
                <w:b/>
              </w:rPr>
            </w:pPr>
            <w:r>
              <w:rPr>
                <w:rFonts w:ascii="Verdana" w:hAnsi="Verdana"/>
                <w:b/>
              </w:rPr>
              <w:t>.</w:t>
            </w:r>
          </w:p>
        </w:tc>
        <w:tc>
          <w:tcPr>
            <w:tcW w:w="8618" w:type="dxa"/>
          </w:tcPr>
          <w:p w14:paraId="55E6B4F1" w14:textId="57ABD72A" w:rsidR="00304F77" w:rsidRPr="00304F77" w:rsidRDefault="00304F77" w:rsidP="00304F77">
            <w:pPr>
              <w:rPr>
                <w:rFonts w:ascii="Verdana" w:hAnsi="Verdana" w:cstheme="minorHAnsi"/>
              </w:rPr>
            </w:pPr>
            <w:r w:rsidRPr="00304F77">
              <w:rPr>
                <w:rStyle w:val="Heading4Char"/>
                <w:rFonts w:ascii="Verdana" w:hAnsi="Verdana"/>
                <w:b/>
                <w:color w:val="auto"/>
              </w:rPr>
              <w:t>Industry Placements</w:t>
            </w:r>
            <w:r>
              <w:rPr>
                <w:rStyle w:val="Heading4Char"/>
                <w:rFonts w:ascii="Verdana" w:hAnsi="Verdana"/>
                <w:i w:val="0"/>
                <w:color w:val="auto"/>
              </w:rPr>
              <w:t xml:space="preserve"> </w:t>
            </w:r>
            <w:r w:rsidRPr="00304F77">
              <w:rPr>
                <w:rStyle w:val="Heading4Char"/>
                <w:rFonts w:ascii="Verdana" w:hAnsi="Verdana"/>
              </w:rPr>
              <w:t xml:space="preserve">- </w:t>
            </w:r>
            <w:r>
              <w:rPr>
                <w:rStyle w:val="Heading4Char"/>
                <w:rFonts w:ascii="Verdana" w:hAnsi="Verdana"/>
              </w:rPr>
              <w:t>v</w:t>
            </w:r>
            <w:r w:rsidRPr="00304F77">
              <w:rPr>
                <w:rFonts w:ascii="Verdana" w:hAnsi="Verdana" w:cstheme="minorHAnsi"/>
              </w:rPr>
              <w:t xml:space="preserve">ocational students based off-site with an external employer for at least </w:t>
            </w:r>
            <w:r w:rsidR="00235370">
              <w:rPr>
                <w:rFonts w:ascii="Verdana" w:hAnsi="Verdana" w:cstheme="minorHAnsi"/>
              </w:rPr>
              <w:t>forty-five</w:t>
            </w:r>
            <w:r w:rsidRPr="00304F77">
              <w:rPr>
                <w:rFonts w:ascii="Verdana" w:hAnsi="Verdana" w:cstheme="minorHAnsi"/>
              </w:rPr>
              <w:t xml:space="preserve"> days</w:t>
            </w:r>
            <w:r>
              <w:rPr>
                <w:rFonts w:cstheme="minorHAnsi"/>
              </w:rPr>
              <w:t xml:space="preserve">, </w:t>
            </w:r>
            <w:r>
              <w:rPr>
                <w:rFonts w:ascii="Verdana" w:hAnsi="Verdana" w:cstheme="minorHAnsi"/>
              </w:rPr>
              <w:t xml:space="preserve">engaged in work </w:t>
            </w:r>
            <w:r w:rsidRPr="00304F77">
              <w:rPr>
                <w:rFonts w:ascii="Verdana" w:hAnsi="Verdana" w:cstheme="minorHAnsi"/>
              </w:rPr>
              <w:t>relevant to the</w:t>
            </w:r>
            <w:r>
              <w:rPr>
                <w:rFonts w:ascii="Verdana" w:hAnsi="Verdana" w:cstheme="minorHAnsi"/>
              </w:rPr>
              <w:t>ir</w:t>
            </w:r>
            <w:r w:rsidRPr="00304F77">
              <w:rPr>
                <w:rFonts w:ascii="Verdana" w:hAnsi="Verdana" w:cstheme="minorHAnsi"/>
              </w:rPr>
              <w:t xml:space="preserve"> pathway, study programme or career aspirations.</w:t>
            </w:r>
          </w:p>
          <w:p w14:paraId="2C0A9E14" w14:textId="2FD74ED4" w:rsidR="00304F77" w:rsidRPr="00304F77" w:rsidRDefault="00304F77" w:rsidP="005363B3">
            <w:pPr>
              <w:pStyle w:val="NoSpacing"/>
            </w:pPr>
          </w:p>
        </w:tc>
      </w:tr>
      <w:tr w:rsidR="00304F77" w14:paraId="711F735B" w14:textId="77777777" w:rsidTr="005A1072">
        <w:tc>
          <w:tcPr>
            <w:tcW w:w="534" w:type="dxa"/>
          </w:tcPr>
          <w:p w14:paraId="549C5F7A" w14:textId="77777777" w:rsidR="00304F77" w:rsidRPr="002F412F" w:rsidRDefault="00304F77" w:rsidP="005363B3">
            <w:pPr>
              <w:rPr>
                <w:rFonts w:ascii="Verdana" w:hAnsi="Verdana"/>
                <w:color w:val="FF0000"/>
              </w:rPr>
            </w:pPr>
          </w:p>
        </w:tc>
        <w:tc>
          <w:tcPr>
            <w:tcW w:w="312" w:type="dxa"/>
          </w:tcPr>
          <w:p w14:paraId="0E07BAE4" w14:textId="3B159CC8" w:rsidR="00304F77" w:rsidRDefault="00304F77" w:rsidP="005363B3">
            <w:pPr>
              <w:rPr>
                <w:rFonts w:ascii="Verdana" w:hAnsi="Verdana"/>
                <w:b/>
              </w:rPr>
            </w:pPr>
            <w:r>
              <w:rPr>
                <w:rFonts w:ascii="Verdana" w:hAnsi="Verdana"/>
                <w:b/>
              </w:rPr>
              <w:t>.</w:t>
            </w:r>
          </w:p>
        </w:tc>
        <w:tc>
          <w:tcPr>
            <w:tcW w:w="8618" w:type="dxa"/>
          </w:tcPr>
          <w:p w14:paraId="1E986751" w14:textId="52F8B3B1" w:rsidR="00304F77" w:rsidRPr="00304F77" w:rsidRDefault="00304F77" w:rsidP="00304F77">
            <w:pPr>
              <w:rPr>
                <w:rFonts w:ascii="Verdana" w:hAnsi="Verdana" w:cstheme="minorHAnsi"/>
              </w:rPr>
            </w:pPr>
            <w:r w:rsidRPr="00304F77">
              <w:rPr>
                <w:rStyle w:val="Heading4Char"/>
                <w:rFonts w:ascii="Verdana" w:hAnsi="Verdana"/>
                <w:b/>
                <w:color w:val="auto"/>
              </w:rPr>
              <w:t>Work Experience (WEX) Projects</w:t>
            </w:r>
            <w:r>
              <w:rPr>
                <w:rStyle w:val="Heading4Char"/>
                <w:rFonts w:ascii="Verdana" w:hAnsi="Verdana"/>
                <w:i w:val="0"/>
                <w:color w:val="auto"/>
              </w:rPr>
              <w:t xml:space="preserve"> </w:t>
            </w:r>
            <w:r>
              <w:rPr>
                <w:rStyle w:val="Heading4Char"/>
              </w:rPr>
              <w:t xml:space="preserve">- </w:t>
            </w:r>
            <w:r>
              <w:rPr>
                <w:rStyle w:val="Heading4Char"/>
                <w:rFonts w:eastAsia="Calibri"/>
              </w:rPr>
              <w:t>s</w:t>
            </w:r>
            <w:r w:rsidRPr="00304F77">
              <w:rPr>
                <w:rFonts w:ascii="Verdana" w:hAnsi="Verdana" w:cstheme="minorHAnsi"/>
              </w:rPr>
              <w:t>tudents have exposure to the workplace or experience of work with an employer</w:t>
            </w:r>
            <w:r>
              <w:rPr>
                <w:rFonts w:ascii="Verdana" w:hAnsi="Verdana" w:cstheme="minorHAnsi"/>
              </w:rPr>
              <w:t>, i</w:t>
            </w:r>
            <w:r w:rsidRPr="00304F77">
              <w:rPr>
                <w:rFonts w:ascii="Verdana" w:hAnsi="Verdana" w:cstheme="minorHAnsi"/>
              </w:rPr>
              <w:t xml:space="preserve">n </w:t>
            </w:r>
            <w:r>
              <w:rPr>
                <w:rFonts w:ascii="Verdana" w:hAnsi="Verdana" w:cstheme="minorHAnsi"/>
              </w:rPr>
              <w:t>most</w:t>
            </w:r>
            <w:r w:rsidRPr="00304F77">
              <w:rPr>
                <w:rFonts w:ascii="Verdana" w:hAnsi="Verdana" w:cstheme="minorHAnsi"/>
              </w:rPr>
              <w:t xml:space="preserve"> </w:t>
            </w:r>
            <w:r>
              <w:rPr>
                <w:rFonts w:ascii="Verdana" w:hAnsi="Verdana" w:cstheme="minorHAnsi"/>
              </w:rPr>
              <w:t>instanc</w:t>
            </w:r>
            <w:r w:rsidRPr="00304F77">
              <w:rPr>
                <w:rFonts w:ascii="Verdana" w:hAnsi="Verdana" w:cstheme="minorHAnsi"/>
              </w:rPr>
              <w:t xml:space="preserve">es delivered in partnership with the curriculum </w:t>
            </w:r>
            <w:r>
              <w:rPr>
                <w:rFonts w:ascii="Verdana" w:hAnsi="Verdana" w:cstheme="minorHAnsi"/>
              </w:rPr>
              <w:t xml:space="preserve">(i.e. </w:t>
            </w:r>
            <w:r w:rsidRPr="00304F77">
              <w:rPr>
                <w:rFonts w:ascii="Verdana" w:hAnsi="Verdana" w:cstheme="minorHAnsi"/>
              </w:rPr>
              <w:t>students are involved as part of their course</w:t>
            </w:r>
            <w:r>
              <w:rPr>
                <w:rFonts w:ascii="Verdana" w:hAnsi="Verdana" w:cstheme="minorHAnsi"/>
              </w:rPr>
              <w:t>)</w:t>
            </w:r>
            <w:r w:rsidRPr="00304F77">
              <w:rPr>
                <w:rFonts w:ascii="Verdana" w:hAnsi="Verdana" w:cstheme="minorHAnsi"/>
              </w:rPr>
              <w:t xml:space="preserve">. </w:t>
            </w:r>
          </w:p>
          <w:p w14:paraId="59998210" w14:textId="4B052F7B" w:rsidR="00304F77" w:rsidRPr="00304F77" w:rsidRDefault="00304F77" w:rsidP="005363B3">
            <w:pPr>
              <w:pStyle w:val="NoSpacing"/>
            </w:pPr>
          </w:p>
        </w:tc>
      </w:tr>
      <w:tr w:rsidR="00304F77" w14:paraId="5A377960" w14:textId="77777777" w:rsidTr="005A1072">
        <w:tc>
          <w:tcPr>
            <w:tcW w:w="534" w:type="dxa"/>
          </w:tcPr>
          <w:p w14:paraId="051EF9D4" w14:textId="77777777" w:rsidR="00304F77" w:rsidRPr="002F412F" w:rsidRDefault="00304F77" w:rsidP="005363B3">
            <w:pPr>
              <w:rPr>
                <w:rFonts w:ascii="Verdana" w:hAnsi="Verdana"/>
                <w:color w:val="FF0000"/>
              </w:rPr>
            </w:pPr>
          </w:p>
        </w:tc>
        <w:tc>
          <w:tcPr>
            <w:tcW w:w="312" w:type="dxa"/>
          </w:tcPr>
          <w:p w14:paraId="1062E4E1" w14:textId="472C84DD" w:rsidR="00304F77" w:rsidRDefault="00304F77" w:rsidP="005363B3">
            <w:pPr>
              <w:rPr>
                <w:rFonts w:ascii="Verdana" w:hAnsi="Verdana"/>
                <w:b/>
              </w:rPr>
            </w:pPr>
            <w:r>
              <w:rPr>
                <w:rFonts w:ascii="Verdana" w:hAnsi="Verdana"/>
                <w:b/>
              </w:rPr>
              <w:t>.</w:t>
            </w:r>
          </w:p>
        </w:tc>
        <w:tc>
          <w:tcPr>
            <w:tcW w:w="8618" w:type="dxa"/>
          </w:tcPr>
          <w:p w14:paraId="3CF33B51" w14:textId="39D2619C" w:rsidR="009403ED" w:rsidRPr="009403ED" w:rsidRDefault="00304F77" w:rsidP="005363B3">
            <w:pPr>
              <w:pStyle w:val="NoSpacing"/>
              <w:rPr>
                <w:rFonts w:cstheme="minorHAnsi"/>
              </w:rPr>
            </w:pPr>
            <w:r w:rsidRPr="00304F77">
              <w:rPr>
                <w:b/>
                <w:i/>
              </w:rPr>
              <w:t>Talks and Workshops</w:t>
            </w:r>
            <w:r>
              <w:t xml:space="preserve"> - </w:t>
            </w:r>
            <w:r w:rsidR="009403ED" w:rsidRPr="009403ED">
              <w:rPr>
                <w:rFonts w:cstheme="minorHAnsi"/>
              </w:rPr>
              <w:t>one off talk</w:t>
            </w:r>
            <w:r w:rsidR="009403ED">
              <w:rPr>
                <w:rFonts w:cstheme="minorHAnsi"/>
              </w:rPr>
              <w:t>s</w:t>
            </w:r>
            <w:r w:rsidR="009403ED" w:rsidRPr="009403ED">
              <w:rPr>
                <w:rFonts w:cstheme="minorHAnsi"/>
              </w:rPr>
              <w:t>/workshop</w:t>
            </w:r>
            <w:r w:rsidR="009403ED">
              <w:rPr>
                <w:rFonts w:cstheme="minorHAnsi"/>
              </w:rPr>
              <w:t>s</w:t>
            </w:r>
            <w:r w:rsidR="009403ED" w:rsidRPr="009403ED">
              <w:rPr>
                <w:rFonts w:cstheme="minorHAnsi"/>
              </w:rPr>
              <w:t xml:space="preserve"> from employer</w:t>
            </w:r>
            <w:r w:rsidR="009403ED">
              <w:rPr>
                <w:rFonts w:cstheme="minorHAnsi"/>
              </w:rPr>
              <w:t>s</w:t>
            </w:r>
            <w:r w:rsidR="009403ED" w:rsidRPr="009403ED">
              <w:rPr>
                <w:rFonts w:cstheme="minorHAnsi"/>
              </w:rPr>
              <w:t xml:space="preserve"> about their industry/careers/etc</w:t>
            </w:r>
            <w:r w:rsidR="009403ED">
              <w:rPr>
                <w:rFonts w:cstheme="minorHAnsi"/>
              </w:rPr>
              <w:t>.</w:t>
            </w:r>
          </w:p>
        </w:tc>
      </w:tr>
    </w:tbl>
    <w:p w14:paraId="1AAC4D13" w14:textId="0296FBF7" w:rsidR="007D75D9" w:rsidRDefault="007D75D9" w:rsidP="00626F4B">
      <w:pPr>
        <w:rPr>
          <w:color w:val="FF0000"/>
        </w:rPr>
      </w:pPr>
    </w:p>
    <w:tbl>
      <w:tblPr>
        <w:tblW w:w="9464" w:type="dxa"/>
        <w:tblCellMar>
          <w:left w:w="10" w:type="dxa"/>
          <w:right w:w="10" w:type="dxa"/>
        </w:tblCellMar>
        <w:tblLook w:val="0000" w:firstRow="0" w:lastRow="0" w:firstColumn="0" w:lastColumn="0" w:noHBand="0" w:noVBand="0"/>
      </w:tblPr>
      <w:tblGrid>
        <w:gridCol w:w="529"/>
        <w:gridCol w:w="8935"/>
      </w:tblGrid>
      <w:tr w:rsidR="00831F5D" w:rsidRPr="00582FA9" w14:paraId="62D94906" w14:textId="77777777" w:rsidTr="00D57464">
        <w:tc>
          <w:tcPr>
            <w:tcW w:w="529" w:type="dxa"/>
            <w:shd w:val="clear" w:color="auto" w:fill="auto"/>
            <w:tcMar>
              <w:top w:w="0" w:type="dxa"/>
              <w:left w:w="108" w:type="dxa"/>
              <w:bottom w:w="0" w:type="dxa"/>
              <w:right w:w="108" w:type="dxa"/>
            </w:tcMar>
          </w:tcPr>
          <w:p w14:paraId="405FF76A" w14:textId="77777777" w:rsidR="00831F5D" w:rsidRPr="005D6214" w:rsidRDefault="00831F5D" w:rsidP="005363B3">
            <w:pPr>
              <w:pStyle w:val="NoSpacing"/>
              <w:rPr>
                <w:b/>
                <w:color w:val="FF0000"/>
              </w:rPr>
            </w:pPr>
          </w:p>
        </w:tc>
        <w:tc>
          <w:tcPr>
            <w:tcW w:w="8935" w:type="dxa"/>
            <w:shd w:val="clear" w:color="auto" w:fill="auto"/>
            <w:tcMar>
              <w:top w:w="0" w:type="dxa"/>
              <w:left w:w="108" w:type="dxa"/>
              <w:bottom w:w="0" w:type="dxa"/>
              <w:right w:w="108" w:type="dxa"/>
            </w:tcMar>
          </w:tcPr>
          <w:p w14:paraId="4630718C" w14:textId="373AA7FF" w:rsidR="00582FA9" w:rsidRDefault="00582FA9" w:rsidP="00582FA9">
            <w:pPr>
              <w:pStyle w:val="NormalWeb"/>
              <w:rPr>
                <w:rFonts w:ascii="Verdana" w:hAnsi="Verdana"/>
                <w:color w:val="000000"/>
              </w:rPr>
            </w:pPr>
            <w:r w:rsidRPr="00582FA9">
              <w:rPr>
                <w:rFonts w:ascii="Verdana" w:hAnsi="Verdana" w:cs="Times New Roman"/>
              </w:rPr>
              <w:t xml:space="preserve">It was reported that </w:t>
            </w:r>
            <w:r>
              <w:rPr>
                <w:rFonts w:ascii="Verdana" w:hAnsi="Verdana" w:cs="Times New Roman"/>
              </w:rPr>
              <w:t>the projected 56</w:t>
            </w:r>
            <w:r w:rsidRPr="00582FA9">
              <w:rPr>
                <w:rFonts w:ascii="Verdana" w:hAnsi="Verdana"/>
                <w:bCs/>
              </w:rPr>
              <w:t xml:space="preserve">% of all students completing a work experience project during the year </w:t>
            </w:r>
            <w:r w:rsidRPr="00582FA9">
              <w:rPr>
                <w:rFonts w:ascii="Verdana" w:hAnsi="Verdana"/>
                <w:color w:val="000000"/>
              </w:rPr>
              <w:t xml:space="preserve">will be close to the final reported KPI for the </w:t>
            </w:r>
            <w:r w:rsidR="00ED573D">
              <w:rPr>
                <w:rFonts w:ascii="Verdana" w:hAnsi="Verdana"/>
                <w:color w:val="000000"/>
              </w:rPr>
              <w:t xml:space="preserve">previous </w:t>
            </w:r>
            <w:r w:rsidRPr="00582FA9">
              <w:rPr>
                <w:rFonts w:ascii="Verdana" w:hAnsi="Verdana"/>
                <w:color w:val="000000"/>
              </w:rPr>
              <w:t xml:space="preserve">year. </w:t>
            </w:r>
            <w:r>
              <w:rPr>
                <w:rFonts w:ascii="Verdana" w:hAnsi="Verdana"/>
                <w:color w:val="000000"/>
              </w:rPr>
              <w:t xml:space="preserve"> </w:t>
            </w:r>
            <w:r w:rsidRPr="00582FA9">
              <w:rPr>
                <w:rFonts w:ascii="Verdana" w:hAnsi="Verdana"/>
                <w:color w:val="000000"/>
              </w:rPr>
              <w:t>However, data cleaning still needs to be completed</w:t>
            </w:r>
            <w:r w:rsidR="005B4ED0">
              <w:rPr>
                <w:rFonts w:ascii="Verdana" w:hAnsi="Verdana"/>
                <w:color w:val="000000"/>
              </w:rPr>
              <w:t>,</w:t>
            </w:r>
            <w:r w:rsidRPr="00582FA9">
              <w:rPr>
                <w:rFonts w:ascii="Verdana" w:hAnsi="Verdana"/>
                <w:color w:val="000000"/>
              </w:rPr>
              <w:t xml:space="preserve"> </w:t>
            </w:r>
            <w:r w:rsidR="005B4ED0">
              <w:rPr>
                <w:rFonts w:ascii="Verdana" w:hAnsi="Verdana"/>
                <w:color w:val="000000"/>
              </w:rPr>
              <w:t>the effect of which</w:t>
            </w:r>
            <w:r w:rsidRPr="00582FA9">
              <w:rPr>
                <w:rFonts w:ascii="Verdana" w:hAnsi="Verdana"/>
                <w:color w:val="000000"/>
              </w:rPr>
              <w:t xml:space="preserve"> normally leads to a slight increase</w:t>
            </w:r>
            <w:r w:rsidR="005A1072">
              <w:rPr>
                <w:rFonts w:ascii="Verdana" w:hAnsi="Verdana"/>
                <w:color w:val="000000"/>
              </w:rPr>
              <w:t xml:space="preserve"> in numbers</w:t>
            </w:r>
            <w:r w:rsidRPr="00582FA9">
              <w:rPr>
                <w:rFonts w:ascii="Verdana" w:hAnsi="Verdana"/>
                <w:color w:val="000000"/>
              </w:rPr>
              <w:t xml:space="preserve">.  The College intends to provide a more detailed annual report to governors towards the end of the academic year. </w:t>
            </w:r>
            <w:r w:rsidR="005A1072">
              <w:rPr>
                <w:rFonts w:ascii="Verdana" w:hAnsi="Verdana"/>
                <w:color w:val="000000"/>
              </w:rPr>
              <w:t xml:space="preserve"> </w:t>
            </w:r>
            <w:r w:rsidRPr="00582FA9">
              <w:rPr>
                <w:rFonts w:ascii="Verdana" w:hAnsi="Verdana"/>
                <w:color w:val="000000"/>
              </w:rPr>
              <w:t xml:space="preserve">The overall figures for the year are still anticipated to </w:t>
            </w:r>
            <w:r w:rsidR="00010E43">
              <w:rPr>
                <w:rFonts w:ascii="Verdana" w:hAnsi="Verdana"/>
                <w:color w:val="000000"/>
              </w:rPr>
              <w:t>show improvement</w:t>
            </w:r>
            <w:r w:rsidRPr="00582FA9">
              <w:rPr>
                <w:rFonts w:ascii="Verdana" w:hAnsi="Verdana"/>
                <w:color w:val="000000"/>
              </w:rPr>
              <w:t xml:space="preserve"> </w:t>
            </w:r>
            <w:r w:rsidR="005B4ED0">
              <w:rPr>
                <w:rFonts w:ascii="Verdana" w:hAnsi="Verdana"/>
                <w:color w:val="000000"/>
              </w:rPr>
              <w:t xml:space="preserve">on the previous year </w:t>
            </w:r>
            <w:r w:rsidRPr="00582FA9">
              <w:rPr>
                <w:rFonts w:ascii="Verdana" w:hAnsi="Verdana"/>
                <w:color w:val="000000"/>
              </w:rPr>
              <w:t xml:space="preserve">despite the impact of Covid-19.  </w:t>
            </w:r>
          </w:p>
          <w:p w14:paraId="2B17596D" w14:textId="77777777" w:rsidR="00582FA9" w:rsidRDefault="00582FA9" w:rsidP="00582FA9">
            <w:pPr>
              <w:pStyle w:val="NormalWeb"/>
              <w:rPr>
                <w:rFonts w:ascii="Verdana" w:hAnsi="Verdana"/>
                <w:color w:val="000000"/>
              </w:rPr>
            </w:pPr>
          </w:p>
          <w:p w14:paraId="5E6E2463" w14:textId="3D356A73" w:rsidR="00061307" w:rsidRDefault="00582FA9" w:rsidP="00582FA9">
            <w:pPr>
              <w:pStyle w:val="NormalWeb"/>
              <w:rPr>
                <w:rFonts w:ascii="Verdana" w:hAnsi="Verdana"/>
                <w:color w:val="000000"/>
              </w:rPr>
            </w:pPr>
            <w:r w:rsidRPr="00582FA9">
              <w:rPr>
                <w:rFonts w:ascii="Verdana" w:hAnsi="Verdana"/>
                <w:color w:val="000000"/>
              </w:rPr>
              <w:t>Industry placements ha</w:t>
            </w:r>
            <w:r>
              <w:rPr>
                <w:rFonts w:ascii="Verdana" w:hAnsi="Verdana"/>
                <w:color w:val="000000"/>
              </w:rPr>
              <w:t>d</w:t>
            </w:r>
            <w:r w:rsidRPr="00582FA9">
              <w:rPr>
                <w:rFonts w:ascii="Verdana" w:hAnsi="Verdana"/>
                <w:color w:val="000000"/>
              </w:rPr>
              <w:t xml:space="preserve"> not been able to be completed (or new ones sourced)</w:t>
            </w:r>
            <w:r w:rsidR="00D57464">
              <w:rPr>
                <w:rFonts w:ascii="Verdana" w:hAnsi="Verdana"/>
                <w:color w:val="000000"/>
              </w:rPr>
              <w:t xml:space="preserve"> because of the pandemic.</w:t>
            </w:r>
            <w:r w:rsidRPr="00582FA9">
              <w:rPr>
                <w:rFonts w:ascii="Verdana" w:hAnsi="Verdana"/>
                <w:color w:val="000000"/>
              </w:rPr>
              <w:t xml:space="preserve"> </w:t>
            </w:r>
            <w:r>
              <w:rPr>
                <w:rFonts w:ascii="Verdana" w:hAnsi="Verdana"/>
                <w:color w:val="000000"/>
              </w:rPr>
              <w:t xml:space="preserve"> </w:t>
            </w:r>
            <w:r w:rsidRPr="00582FA9">
              <w:rPr>
                <w:rFonts w:ascii="Verdana" w:hAnsi="Verdana"/>
                <w:color w:val="000000"/>
              </w:rPr>
              <w:t xml:space="preserve">However, </w:t>
            </w:r>
            <w:r>
              <w:rPr>
                <w:rFonts w:ascii="Verdana" w:hAnsi="Verdana"/>
                <w:color w:val="000000"/>
              </w:rPr>
              <w:t>the College had</w:t>
            </w:r>
            <w:r w:rsidRPr="00582FA9">
              <w:rPr>
                <w:rFonts w:ascii="Verdana" w:hAnsi="Verdana"/>
                <w:color w:val="000000"/>
              </w:rPr>
              <w:t xml:space="preserve"> received confirmation from the </w:t>
            </w:r>
            <w:r>
              <w:rPr>
                <w:rFonts w:ascii="Verdana" w:hAnsi="Verdana"/>
                <w:color w:val="000000"/>
              </w:rPr>
              <w:t>Education and Skills Funding Agency (</w:t>
            </w:r>
            <w:r w:rsidRPr="00582FA9">
              <w:rPr>
                <w:rFonts w:ascii="Verdana" w:hAnsi="Verdana"/>
                <w:color w:val="000000"/>
              </w:rPr>
              <w:t>ESFA</w:t>
            </w:r>
            <w:r>
              <w:rPr>
                <w:rFonts w:ascii="Verdana" w:hAnsi="Verdana"/>
                <w:color w:val="000000"/>
              </w:rPr>
              <w:t>)</w:t>
            </w:r>
            <w:r w:rsidRPr="00582FA9">
              <w:rPr>
                <w:rFonts w:ascii="Verdana" w:hAnsi="Verdana"/>
                <w:color w:val="000000"/>
              </w:rPr>
              <w:t xml:space="preserve"> that the target has been removed for this academic year, and </w:t>
            </w:r>
            <w:r w:rsidR="00ED573D">
              <w:rPr>
                <w:rFonts w:ascii="Verdana" w:hAnsi="Verdana"/>
                <w:color w:val="000000"/>
              </w:rPr>
              <w:t xml:space="preserve">that </w:t>
            </w:r>
            <w:r w:rsidRPr="00582FA9">
              <w:rPr>
                <w:rFonts w:ascii="Verdana" w:hAnsi="Verdana"/>
                <w:color w:val="000000"/>
              </w:rPr>
              <w:t xml:space="preserve">the funding </w:t>
            </w:r>
            <w:r w:rsidR="00D57464">
              <w:rPr>
                <w:rFonts w:ascii="Verdana" w:hAnsi="Verdana"/>
                <w:color w:val="000000"/>
              </w:rPr>
              <w:t>may</w:t>
            </w:r>
            <w:r w:rsidRPr="00582FA9">
              <w:rPr>
                <w:rFonts w:ascii="Verdana" w:hAnsi="Verdana"/>
                <w:color w:val="000000"/>
              </w:rPr>
              <w:t xml:space="preserve"> be used for associated purposes. </w:t>
            </w:r>
            <w:r w:rsidR="00ED573D">
              <w:rPr>
                <w:rFonts w:ascii="Verdana" w:hAnsi="Verdana"/>
                <w:color w:val="000000"/>
              </w:rPr>
              <w:t xml:space="preserve"> To this end, a</w:t>
            </w:r>
            <w:r w:rsidRPr="00582FA9">
              <w:rPr>
                <w:rFonts w:ascii="Verdana" w:hAnsi="Verdana"/>
                <w:color w:val="000000"/>
              </w:rPr>
              <w:t>n action plan ha</w:t>
            </w:r>
            <w:r w:rsidR="00ED573D">
              <w:rPr>
                <w:rFonts w:ascii="Verdana" w:hAnsi="Verdana"/>
                <w:color w:val="000000"/>
              </w:rPr>
              <w:t>d</w:t>
            </w:r>
            <w:r w:rsidRPr="00582FA9">
              <w:rPr>
                <w:rFonts w:ascii="Verdana" w:hAnsi="Verdana"/>
                <w:color w:val="000000"/>
              </w:rPr>
              <w:t xml:space="preserve"> been agreed to continue to build relationships with new and existing employers, recruit an additional team member to source industry placements and develop </w:t>
            </w:r>
            <w:r w:rsidR="00ED573D">
              <w:rPr>
                <w:rFonts w:ascii="Verdana" w:hAnsi="Verdana"/>
                <w:color w:val="000000"/>
              </w:rPr>
              <w:t>a</w:t>
            </w:r>
            <w:r w:rsidRPr="00582FA9">
              <w:rPr>
                <w:rFonts w:ascii="Verdana" w:hAnsi="Verdana"/>
                <w:color w:val="000000"/>
              </w:rPr>
              <w:t xml:space="preserve"> model/timetable for next year</w:t>
            </w:r>
            <w:r w:rsidR="00ED573D">
              <w:rPr>
                <w:rFonts w:ascii="Verdana" w:hAnsi="Verdana"/>
                <w:color w:val="000000"/>
              </w:rPr>
              <w:t>.</w:t>
            </w:r>
          </w:p>
          <w:p w14:paraId="624AFB9C" w14:textId="77777777" w:rsidR="00ED573D" w:rsidRDefault="00ED573D" w:rsidP="00582FA9">
            <w:pPr>
              <w:pStyle w:val="NormalWeb"/>
              <w:rPr>
                <w:rFonts w:ascii="Verdana" w:hAnsi="Verdana"/>
                <w:color w:val="000000"/>
              </w:rPr>
            </w:pPr>
          </w:p>
          <w:p w14:paraId="3CA36152" w14:textId="1246EB7F" w:rsidR="00ED573D" w:rsidRPr="00582FA9" w:rsidRDefault="00ED573D" w:rsidP="00582FA9">
            <w:pPr>
              <w:pStyle w:val="NormalWeb"/>
              <w:rPr>
                <w:rFonts w:ascii="Verdana" w:hAnsi="Verdana"/>
                <w:color w:val="000000"/>
              </w:rPr>
            </w:pPr>
            <w:r>
              <w:rPr>
                <w:rFonts w:ascii="Verdana" w:hAnsi="Verdana"/>
              </w:rPr>
              <w:t xml:space="preserve">The following </w:t>
            </w:r>
            <w:r w:rsidR="00467367">
              <w:rPr>
                <w:rFonts w:ascii="Verdana" w:hAnsi="Verdana"/>
              </w:rPr>
              <w:t>comments</w:t>
            </w:r>
            <w:r>
              <w:rPr>
                <w:rFonts w:ascii="Verdana" w:hAnsi="Verdana"/>
              </w:rPr>
              <w:t xml:space="preserve"> were </w:t>
            </w:r>
            <w:r w:rsidR="00467367">
              <w:rPr>
                <w:rFonts w:ascii="Verdana" w:hAnsi="Verdana"/>
              </w:rPr>
              <w:t>made</w:t>
            </w:r>
            <w:r>
              <w:rPr>
                <w:rFonts w:ascii="Verdana" w:hAnsi="Verdana"/>
              </w:rPr>
              <w:t xml:space="preserve"> by members:</w:t>
            </w:r>
          </w:p>
        </w:tc>
      </w:tr>
    </w:tbl>
    <w:p w14:paraId="6073B988" w14:textId="044F78FD" w:rsidR="001E635C" w:rsidRDefault="001E635C" w:rsidP="00626F4B">
      <w:pPr>
        <w:rPr>
          <w:color w:val="FF0000"/>
        </w:rPr>
      </w:pP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312"/>
        <w:gridCol w:w="8618"/>
      </w:tblGrid>
      <w:tr w:rsidR="00010E43" w:rsidRPr="00304F77" w14:paraId="205616E7" w14:textId="77777777" w:rsidTr="00D57464">
        <w:tc>
          <w:tcPr>
            <w:tcW w:w="534" w:type="dxa"/>
          </w:tcPr>
          <w:p w14:paraId="4A742705" w14:textId="77777777" w:rsidR="00010E43" w:rsidRPr="002F412F" w:rsidRDefault="00010E43" w:rsidP="00467367">
            <w:pPr>
              <w:rPr>
                <w:rFonts w:ascii="Verdana" w:hAnsi="Verdana"/>
                <w:color w:val="FF0000"/>
              </w:rPr>
            </w:pPr>
          </w:p>
        </w:tc>
        <w:tc>
          <w:tcPr>
            <w:tcW w:w="312" w:type="dxa"/>
          </w:tcPr>
          <w:p w14:paraId="6509BA50" w14:textId="77777777" w:rsidR="00010E43" w:rsidRDefault="00010E43" w:rsidP="00467367">
            <w:pPr>
              <w:rPr>
                <w:rFonts w:ascii="Verdana" w:hAnsi="Verdana"/>
                <w:b/>
              </w:rPr>
            </w:pPr>
            <w:r>
              <w:rPr>
                <w:rFonts w:ascii="Verdana" w:hAnsi="Verdana"/>
                <w:b/>
              </w:rPr>
              <w:t>.</w:t>
            </w:r>
          </w:p>
        </w:tc>
        <w:tc>
          <w:tcPr>
            <w:tcW w:w="8618" w:type="dxa"/>
          </w:tcPr>
          <w:p w14:paraId="5BA01A5B" w14:textId="77777777" w:rsidR="00010E43" w:rsidRDefault="00467367" w:rsidP="00467367">
            <w:pPr>
              <w:pStyle w:val="NoSpacing"/>
            </w:pPr>
            <w:r>
              <w:t>the College’s achievement in the “short” 2019-20 year had been highly commendable;</w:t>
            </w:r>
          </w:p>
          <w:p w14:paraId="7012E7DE" w14:textId="371C817B" w:rsidR="00467367" w:rsidRPr="00304F77" w:rsidRDefault="00467367" w:rsidP="00467367">
            <w:pPr>
              <w:pStyle w:val="NoSpacing"/>
            </w:pPr>
          </w:p>
        </w:tc>
      </w:tr>
      <w:tr w:rsidR="00010E43" w:rsidRPr="00304F77" w14:paraId="58B300B8" w14:textId="77777777" w:rsidTr="00D57464">
        <w:tc>
          <w:tcPr>
            <w:tcW w:w="534" w:type="dxa"/>
          </w:tcPr>
          <w:p w14:paraId="21B95B16" w14:textId="77777777" w:rsidR="00010E43" w:rsidRPr="002F412F" w:rsidRDefault="00010E43" w:rsidP="00467367">
            <w:pPr>
              <w:rPr>
                <w:rFonts w:ascii="Verdana" w:hAnsi="Verdana"/>
                <w:color w:val="FF0000"/>
              </w:rPr>
            </w:pPr>
          </w:p>
        </w:tc>
        <w:tc>
          <w:tcPr>
            <w:tcW w:w="312" w:type="dxa"/>
          </w:tcPr>
          <w:p w14:paraId="5EE81330" w14:textId="77777777" w:rsidR="00010E43" w:rsidRDefault="00010E43" w:rsidP="00467367">
            <w:pPr>
              <w:rPr>
                <w:rFonts w:ascii="Verdana" w:hAnsi="Verdana"/>
                <w:b/>
              </w:rPr>
            </w:pPr>
            <w:r>
              <w:rPr>
                <w:rFonts w:ascii="Verdana" w:hAnsi="Verdana"/>
                <w:b/>
              </w:rPr>
              <w:t>.</w:t>
            </w:r>
          </w:p>
        </w:tc>
        <w:tc>
          <w:tcPr>
            <w:tcW w:w="8618" w:type="dxa"/>
          </w:tcPr>
          <w:p w14:paraId="39BC98DA" w14:textId="0389B7E8" w:rsidR="00010E43" w:rsidRDefault="00467367" w:rsidP="00467367">
            <w:pPr>
              <w:pStyle w:val="NoSpacing"/>
            </w:pPr>
            <w:r>
              <w:t>the anticipated continuing need for “social distancing” measures is likely to act strong</w:t>
            </w:r>
            <w:r w:rsidR="00D57464">
              <w:t>ly as a</w:t>
            </w:r>
            <w:r>
              <w:t xml:space="preserve"> brake on industry placements in the outlook period;</w:t>
            </w:r>
          </w:p>
          <w:p w14:paraId="73929034" w14:textId="795129C6" w:rsidR="00467367" w:rsidRPr="00304F77" w:rsidRDefault="00467367" w:rsidP="00467367">
            <w:pPr>
              <w:pStyle w:val="NoSpacing"/>
            </w:pPr>
          </w:p>
        </w:tc>
      </w:tr>
      <w:tr w:rsidR="00010E43" w:rsidRPr="00304F77" w14:paraId="7F668286" w14:textId="77777777" w:rsidTr="00D57464">
        <w:tc>
          <w:tcPr>
            <w:tcW w:w="534" w:type="dxa"/>
          </w:tcPr>
          <w:p w14:paraId="662F66FC" w14:textId="77777777" w:rsidR="00010E43" w:rsidRPr="002F412F" w:rsidRDefault="00010E43" w:rsidP="00467367">
            <w:pPr>
              <w:rPr>
                <w:rFonts w:ascii="Verdana" w:hAnsi="Verdana"/>
                <w:color w:val="FF0000"/>
              </w:rPr>
            </w:pPr>
          </w:p>
        </w:tc>
        <w:tc>
          <w:tcPr>
            <w:tcW w:w="312" w:type="dxa"/>
          </w:tcPr>
          <w:p w14:paraId="438ED113" w14:textId="77777777" w:rsidR="00010E43" w:rsidRDefault="00010E43" w:rsidP="00467367">
            <w:pPr>
              <w:rPr>
                <w:rFonts w:ascii="Verdana" w:hAnsi="Verdana"/>
                <w:b/>
              </w:rPr>
            </w:pPr>
            <w:r>
              <w:rPr>
                <w:rFonts w:ascii="Verdana" w:hAnsi="Verdana"/>
                <w:b/>
              </w:rPr>
              <w:t>.</w:t>
            </w:r>
          </w:p>
        </w:tc>
        <w:tc>
          <w:tcPr>
            <w:tcW w:w="8618" w:type="dxa"/>
          </w:tcPr>
          <w:p w14:paraId="44AECD7D" w14:textId="16B97C19" w:rsidR="00010E43" w:rsidRPr="00467367" w:rsidRDefault="00467367" w:rsidP="00467367">
            <w:pPr>
              <w:pStyle w:val="NoSpacing"/>
              <w:rPr>
                <w:i/>
                <w:iCs/>
              </w:rPr>
            </w:pPr>
            <w:r>
              <w:t xml:space="preserve">online industry placements are being developed </w:t>
            </w:r>
            <w:r w:rsidR="00D57464">
              <w:t>by some</w:t>
            </w:r>
            <w:r>
              <w:t xml:space="preserve"> employers, and the College should look to encourage and benefit from them; </w:t>
            </w:r>
            <w:r>
              <w:rPr>
                <w:i/>
                <w:iCs/>
              </w:rPr>
              <w:t>and</w:t>
            </w:r>
          </w:p>
          <w:p w14:paraId="2F98439C" w14:textId="73EC20AF" w:rsidR="00467367" w:rsidRPr="00304F77" w:rsidRDefault="00467367" w:rsidP="00467367">
            <w:pPr>
              <w:pStyle w:val="NoSpacing"/>
            </w:pPr>
          </w:p>
        </w:tc>
      </w:tr>
      <w:tr w:rsidR="00010E43" w:rsidRPr="009403ED" w14:paraId="506161A1" w14:textId="77777777" w:rsidTr="00D57464">
        <w:tc>
          <w:tcPr>
            <w:tcW w:w="534" w:type="dxa"/>
          </w:tcPr>
          <w:p w14:paraId="1AAA3A21" w14:textId="77777777" w:rsidR="00010E43" w:rsidRPr="002F412F" w:rsidRDefault="00010E43" w:rsidP="00467367">
            <w:pPr>
              <w:rPr>
                <w:rFonts w:ascii="Verdana" w:hAnsi="Verdana"/>
                <w:color w:val="FF0000"/>
              </w:rPr>
            </w:pPr>
          </w:p>
        </w:tc>
        <w:tc>
          <w:tcPr>
            <w:tcW w:w="312" w:type="dxa"/>
          </w:tcPr>
          <w:p w14:paraId="0F84C9C0" w14:textId="77777777" w:rsidR="00010E43" w:rsidRDefault="00010E43" w:rsidP="00467367">
            <w:pPr>
              <w:rPr>
                <w:rFonts w:ascii="Verdana" w:hAnsi="Verdana"/>
                <w:b/>
              </w:rPr>
            </w:pPr>
            <w:r>
              <w:rPr>
                <w:rFonts w:ascii="Verdana" w:hAnsi="Verdana"/>
                <w:b/>
              </w:rPr>
              <w:t>.</w:t>
            </w:r>
          </w:p>
        </w:tc>
        <w:tc>
          <w:tcPr>
            <w:tcW w:w="8618" w:type="dxa"/>
          </w:tcPr>
          <w:p w14:paraId="743C8258" w14:textId="0F17BAA7" w:rsidR="00010E43" w:rsidRPr="009403ED" w:rsidRDefault="00467367" w:rsidP="00467367">
            <w:pPr>
              <w:pStyle w:val="NoSpacing"/>
              <w:rPr>
                <w:rFonts w:cstheme="minorHAnsi"/>
              </w:rPr>
            </w:pPr>
            <w:r>
              <w:rPr>
                <w:rFonts w:cstheme="minorHAnsi"/>
              </w:rPr>
              <w:t>the College’s positive initiatives in the above regard should be communicated effectively to students, both actual and prospective.</w:t>
            </w:r>
          </w:p>
        </w:tc>
      </w:tr>
    </w:tbl>
    <w:p w14:paraId="77E13F93" w14:textId="1750D70D" w:rsidR="00ED573D" w:rsidRDefault="00ED573D" w:rsidP="00626F4B">
      <w:pPr>
        <w:rPr>
          <w:color w:val="FF0000"/>
        </w:rPr>
      </w:pPr>
    </w:p>
    <w:tbl>
      <w:tblPr>
        <w:tblW w:w="9464" w:type="dxa"/>
        <w:tblCellMar>
          <w:left w:w="10" w:type="dxa"/>
          <w:right w:w="10" w:type="dxa"/>
        </w:tblCellMar>
        <w:tblLook w:val="0000" w:firstRow="0" w:lastRow="0" w:firstColumn="0" w:lastColumn="0" w:noHBand="0" w:noVBand="0"/>
      </w:tblPr>
      <w:tblGrid>
        <w:gridCol w:w="529"/>
        <w:gridCol w:w="8935"/>
      </w:tblGrid>
      <w:tr w:rsidR="00010E43" w:rsidRPr="006D35B2" w14:paraId="772D45E5" w14:textId="77777777" w:rsidTr="00D57464">
        <w:tc>
          <w:tcPr>
            <w:tcW w:w="529" w:type="dxa"/>
            <w:shd w:val="clear" w:color="auto" w:fill="auto"/>
            <w:tcMar>
              <w:top w:w="0" w:type="dxa"/>
              <w:left w:w="108" w:type="dxa"/>
              <w:bottom w:w="0" w:type="dxa"/>
              <w:right w:w="108" w:type="dxa"/>
            </w:tcMar>
          </w:tcPr>
          <w:p w14:paraId="240C7E4B" w14:textId="40DE930E" w:rsidR="00010E43" w:rsidRDefault="00010E43" w:rsidP="00467367">
            <w:pPr>
              <w:pStyle w:val="NoSpacing"/>
              <w:rPr>
                <w:b/>
              </w:rPr>
            </w:pPr>
          </w:p>
        </w:tc>
        <w:tc>
          <w:tcPr>
            <w:tcW w:w="8935" w:type="dxa"/>
            <w:shd w:val="clear" w:color="auto" w:fill="auto"/>
            <w:tcMar>
              <w:top w:w="0" w:type="dxa"/>
              <w:left w:w="108" w:type="dxa"/>
              <w:bottom w:w="0" w:type="dxa"/>
              <w:right w:w="108" w:type="dxa"/>
            </w:tcMar>
          </w:tcPr>
          <w:p w14:paraId="39CC8C40" w14:textId="3C6EEBAA" w:rsidR="00010E43" w:rsidRPr="006D35B2" w:rsidRDefault="00467367" w:rsidP="00467367">
            <w:pPr>
              <w:rPr>
                <w:rFonts w:ascii="Verdana" w:hAnsi="Verdana"/>
              </w:rPr>
            </w:pPr>
            <w:r>
              <w:rPr>
                <w:rFonts w:ascii="Verdana" w:hAnsi="Verdana"/>
              </w:rPr>
              <w:t>It was agreed that work experience targets (and the criteria</w:t>
            </w:r>
            <w:r w:rsidR="0014062C">
              <w:rPr>
                <w:rFonts w:ascii="Verdana" w:hAnsi="Verdana"/>
              </w:rPr>
              <w:t xml:space="preserve"> informing their definition</w:t>
            </w:r>
            <w:r>
              <w:rPr>
                <w:rFonts w:ascii="Verdana" w:hAnsi="Verdana"/>
              </w:rPr>
              <w:t>) for 2020-21 will be discussed at the Committee’s next meeting.</w:t>
            </w:r>
          </w:p>
        </w:tc>
      </w:tr>
    </w:tbl>
    <w:p w14:paraId="33F5E653" w14:textId="77777777" w:rsidR="00010E43" w:rsidRDefault="00010E43" w:rsidP="00626F4B">
      <w:pPr>
        <w:rPr>
          <w:color w:val="FF0000"/>
        </w:rPr>
      </w:pPr>
    </w:p>
    <w:tbl>
      <w:tblPr>
        <w:tblW w:w="9464" w:type="dxa"/>
        <w:tblCellMar>
          <w:left w:w="10" w:type="dxa"/>
          <w:right w:w="10" w:type="dxa"/>
        </w:tblCellMar>
        <w:tblLook w:val="0000" w:firstRow="0" w:lastRow="0" w:firstColumn="0" w:lastColumn="0" w:noHBand="0" w:noVBand="0"/>
      </w:tblPr>
      <w:tblGrid>
        <w:gridCol w:w="529"/>
        <w:gridCol w:w="8935"/>
      </w:tblGrid>
      <w:tr w:rsidR="00272BBF" w:rsidRPr="006D35B2" w14:paraId="49F8DAF1" w14:textId="77777777" w:rsidTr="00D57464">
        <w:tc>
          <w:tcPr>
            <w:tcW w:w="529" w:type="dxa"/>
            <w:shd w:val="clear" w:color="auto" w:fill="auto"/>
            <w:tcMar>
              <w:top w:w="0" w:type="dxa"/>
              <w:left w:w="108" w:type="dxa"/>
              <w:bottom w:w="0" w:type="dxa"/>
              <w:right w:w="108" w:type="dxa"/>
            </w:tcMar>
          </w:tcPr>
          <w:p w14:paraId="7B2C6B72" w14:textId="4801F425" w:rsidR="00272BBF" w:rsidRDefault="00D36A46" w:rsidP="005363B3">
            <w:pPr>
              <w:pStyle w:val="NoSpacing"/>
              <w:rPr>
                <w:b/>
              </w:rPr>
            </w:pPr>
            <w:r>
              <w:rPr>
                <w:b/>
              </w:rPr>
              <w:t>8</w:t>
            </w:r>
          </w:p>
        </w:tc>
        <w:tc>
          <w:tcPr>
            <w:tcW w:w="8935" w:type="dxa"/>
            <w:shd w:val="clear" w:color="auto" w:fill="auto"/>
            <w:tcMar>
              <w:top w:w="0" w:type="dxa"/>
              <w:left w:w="108" w:type="dxa"/>
              <w:bottom w:w="0" w:type="dxa"/>
              <w:right w:w="108" w:type="dxa"/>
            </w:tcMar>
          </w:tcPr>
          <w:p w14:paraId="64A7A25B" w14:textId="678A6596" w:rsidR="00D36A46" w:rsidRDefault="00D36A46" w:rsidP="00D36A46">
            <w:pPr>
              <w:rPr>
                <w:rFonts w:ascii="Verdana" w:hAnsi="Verdana"/>
                <w:b/>
              </w:rPr>
            </w:pPr>
            <w:r w:rsidRPr="00431A61">
              <w:rPr>
                <w:rFonts w:ascii="Verdana" w:hAnsi="Verdana"/>
                <w:b/>
              </w:rPr>
              <w:t xml:space="preserve">Key Performance Indicators </w:t>
            </w:r>
            <w:r>
              <w:rPr>
                <w:rFonts w:ascii="Verdana" w:hAnsi="Verdana"/>
                <w:b/>
              </w:rPr>
              <w:t>2019-20</w:t>
            </w:r>
          </w:p>
          <w:p w14:paraId="4093B437" w14:textId="77777777" w:rsidR="00272BBF" w:rsidRDefault="00272BBF" w:rsidP="005363B3">
            <w:pPr>
              <w:rPr>
                <w:rFonts w:ascii="Verdana" w:hAnsi="Verdana"/>
              </w:rPr>
            </w:pPr>
          </w:p>
          <w:p w14:paraId="18AD433B" w14:textId="00F372EB" w:rsidR="00272BBF" w:rsidRPr="006D35B2" w:rsidRDefault="00D53DD1" w:rsidP="005363B3">
            <w:pPr>
              <w:rPr>
                <w:rFonts w:ascii="Verdana" w:hAnsi="Verdana"/>
              </w:rPr>
            </w:pPr>
            <w:r>
              <w:rPr>
                <w:rFonts w:ascii="Verdana" w:hAnsi="Verdana"/>
              </w:rPr>
              <w:t xml:space="preserve">Where </w:t>
            </w:r>
            <w:r w:rsidR="00010E43">
              <w:rPr>
                <w:rFonts w:ascii="Verdana" w:hAnsi="Verdana"/>
              </w:rPr>
              <w:t xml:space="preserve">there are valid </w:t>
            </w:r>
            <w:r w:rsidR="00606929">
              <w:rPr>
                <w:rFonts w:ascii="Verdana" w:hAnsi="Verdana"/>
              </w:rPr>
              <w:t xml:space="preserve">projections </w:t>
            </w:r>
            <w:r>
              <w:rPr>
                <w:rFonts w:ascii="Verdana" w:hAnsi="Verdana"/>
              </w:rPr>
              <w:t>measures at this point of the year, the following w</w:t>
            </w:r>
            <w:r w:rsidR="00606929">
              <w:rPr>
                <w:rFonts w:ascii="Verdana" w:hAnsi="Verdana"/>
              </w:rPr>
              <w:t>ere</w:t>
            </w:r>
            <w:r>
              <w:rPr>
                <w:rFonts w:ascii="Verdana" w:hAnsi="Verdana"/>
              </w:rPr>
              <w:t xml:space="preserve"> reported</w:t>
            </w:r>
            <w:r w:rsidR="002E47E5">
              <w:rPr>
                <w:rFonts w:ascii="Verdana" w:hAnsi="Verdana"/>
              </w:rPr>
              <w:t xml:space="preserve"> and noted</w:t>
            </w:r>
            <w:r>
              <w:rPr>
                <w:rFonts w:ascii="Verdana" w:hAnsi="Verdana"/>
              </w:rPr>
              <w:t>:</w:t>
            </w:r>
          </w:p>
        </w:tc>
      </w:tr>
    </w:tbl>
    <w:p w14:paraId="7AEA014A" w14:textId="77777777" w:rsidR="00ED573D" w:rsidRDefault="00ED573D" w:rsidP="00626F4B">
      <w:pPr>
        <w:rPr>
          <w:color w:val="FF0000"/>
        </w:rPr>
      </w:pPr>
    </w:p>
    <w:tbl>
      <w:tblPr>
        <w:tblStyle w:val="TableGrid"/>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2"/>
        <w:gridCol w:w="1843"/>
        <w:gridCol w:w="2126"/>
        <w:gridCol w:w="1418"/>
        <w:gridCol w:w="1276"/>
        <w:gridCol w:w="2268"/>
      </w:tblGrid>
      <w:tr w:rsidR="00D53DD1" w14:paraId="5E4B4FBA" w14:textId="7D032E11" w:rsidTr="00D57464">
        <w:tc>
          <w:tcPr>
            <w:tcW w:w="562" w:type="dxa"/>
          </w:tcPr>
          <w:p w14:paraId="605B9992" w14:textId="77777777" w:rsidR="00D53DD1" w:rsidRDefault="00D53DD1" w:rsidP="000E6026">
            <w:pPr>
              <w:rPr>
                <w:color w:val="FF0000"/>
              </w:rPr>
            </w:pPr>
          </w:p>
        </w:tc>
        <w:tc>
          <w:tcPr>
            <w:tcW w:w="1843" w:type="dxa"/>
            <w:vAlign w:val="center"/>
          </w:tcPr>
          <w:p w14:paraId="351F55F3" w14:textId="491F47A0" w:rsidR="00D53DD1" w:rsidRPr="000E6026" w:rsidRDefault="00D53DD1" w:rsidP="000E6026">
            <w:pPr>
              <w:rPr>
                <w:rFonts w:ascii="Verdana" w:hAnsi="Verdana"/>
              </w:rPr>
            </w:pPr>
            <w:r w:rsidRPr="000E6026">
              <w:rPr>
                <w:rFonts w:ascii="Verdana" w:hAnsi="Verdana"/>
                <w:b/>
              </w:rPr>
              <w:t>Performance Indicators</w:t>
            </w:r>
          </w:p>
        </w:tc>
        <w:tc>
          <w:tcPr>
            <w:tcW w:w="2126" w:type="dxa"/>
            <w:vAlign w:val="center"/>
          </w:tcPr>
          <w:p w14:paraId="0E3111F0" w14:textId="500B9094" w:rsidR="00D53DD1" w:rsidRPr="000E6026" w:rsidRDefault="00D53DD1" w:rsidP="000E6026">
            <w:pPr>
              <w:rPr>
                <w:rFonts w:ascii="Verdana" w:hAnsi="Verdana"/>
              </w:rPr>
            </w:pPr>
            <w:r w:rsidRPr="000E6026">
              <w:rPr>
                <w:rFonts w:ascii="Verdana" w:hAnsi="Verdana"/>
                <w:b/>
              </w:rPr>
              <w:t>Measure</w:t>
            </w:r>
          </w:p>
        </w:tc>
        <w:tc>
          <w:tcPr>
            <w:tcW w:w="1418" w:type="dxa"/>
            <w:vAlign w:val="center"/>
          </w:tcPr>
          <w:p w14:paraId="66B6543B" w14:textId="34D72345" w:rsidR="00D53DD1" w:rsidRPr="000E6026" w:rsidRDefault="00D53DD1" w:rsidP="00613224">
            <w:pPr>
              <w:jc w:val="center"/>
              <w:rPr>
                <w:rFonts w:ascii="Verdana" w:hAnsi="Verdana"/>
                <w:b/>
              </w:rPr>
            </w:pPr>
            <w:r>
              <w:rPr>
                <w:rFonts w:ascii="Verdana" w:hAnsi="Verdana"/>
                <w:b/>
              </w:rPr>
              <w:t>2018-19</w:t>
            </w:r>
          </w:p>
          <w:p w14:paraId="7BCA4CCC" w14:textId="77777777" w:rsidR="00D53DD1" w:rsidRPr="000E6026" w:rsidRDefault="00D53DD1" w:rsidP="00613224">
            <w:pPr>
              <w:jc w:val="center"/>
              <w:rPr>
                <w:rFonts w:ascii="Verdana" w:hAnsi="Verdana"/>
                <w:b/>
              </w:rPr>
            </w:pPr>
            <w:r w:rsidRPr="000E6026">
              <w:rPr>
                <w:rFonts w:ascii="Verdana" w:hAnsi="Verdana"/>
                <w:b/>
              </w:rPr>
              <w:t>Outcome</w:t>
            </w:r>
          </w:p>
          <w:p w14:paraId="0B89E2AE" w14:textId="61E69FB3" w:rsidR="00D53DD1" w:rsidRPr="000E6026" w:rsidRDefault="00D53DD1" w:rsidP="00613224">
            <w:pPr>
              <w:jc w:val="center"/>
              <w:rPr>
                <w:rFonts w:ascii="Verdana" w:hAnsi="Verdana"/>
              </w:rPr>
            </w:pPr>
          </w:p>
        </w:tc>
        <w:tc>
          <w:tcPr>
            <w:tcW w:w="1276" w:type="dxa"/>
            <w:vAlign w:val="center"/>
          </w:tcPr>
          <w:p w14:paraId="3084F081" w14:textId="44A11E44" w:rsidR="00D53DD1" w:rsidRPr="000E6026" w:rsidRDefault="00D53DD1" w:rsidP="00613224">
            <w:pPr>
              <w:jc w:val="center"/>
              <w:rPr>
                <w:rFonts w:ascii="Verdana" w:hAnsi="Verdana"/>
                <w:b/>
              </w:rPr>
            </w:pPr>
            <w:r w:rsidRPr="000E6026">
              <w:rPr>
                <w:rFonts w:ascii="Verdana" w:hAnsi="Verdana"/>
                <w:b/>
              </w:rPr>
              <w:t>201</w:t>
            </w:r>
            <w:r>
              <w:rPr>
                <w:rFonts w:ascii="Verdana" w:hAnsi="Verdana"/>
                <w:b/>
              </w:rPr>
              <w:t>9-20</w:t>
            </w:r>
            <w:r w:rsidRPr="000E6026">
              <w:rPr>
                <w:rFonts w:ascii="Verdana" w:hAnsi="Verdana"/>
                <w:b/>
              </w:rPr>
              <w:t xml:space="preserve"> Target</w:t>
            </w:r>
          </w:p>
          <w:p w14:paraId="43C9F36B" w14:textId="16E775FF" w:rsidR="00D53DD1" w:rsidRPr="000E6026" w:rsidRDefault="00D53DD1" w:rsidP="00613224">
            <w:pPr>
              <w:jc w:val="center"/>
              <w:rPr>
                <w:rFonts w:ascii="Verdana" w:hAnsi="Verdana"/>
              </w:rPr>
            </w:pPr>
            <w:r w:rsidRPr="000E6026">
              <w:rPr>
                <w:rFonts w:ascii="Verdana" w:hAnsi="Verdana"/>
                <w:b/>
              </w:rPr>
              <w:t>%</w:t>
            </w:r>
          </w:p>
        </w:tc>
        <w:tc>
          <w:tcPr>
            <w:tcW w:w="2268" w:type="dxa"/>
          </w:tcPr>
          <w:p w14:paraId="6289B88E" w14:textId="71E51558" w:rsidR="00D53DD1" w:rsidRDefault="00ED573D" w:rsidP="00613224">
            <w:pPr>
              <w:jc w:val="center"/>
              <w:rPr>
                <w:rFonts w:ascii="Verdana" w:hAnsi="Verdana"/>
                <w:b/>
              </w:rPr>
            </w:pPr>
            <w:r>
              <w:rPr>
                <w:rFonts w:ascii="Verdana" w:hAnsi="Verdana"/>
                <w:b/>
              </w:rPr>
              <w:t>May</w:t>
            </w:r>
            <w:r w:rsidR="00606929">
              <w:rPr>
                <w:rFonts w:ascii="Verdana" w:hAnsi="Verdana"/>
                <w:b/>
              </w:rPr>
              <w:t xml:space="preserve"> 20</w:t>
            </w:r>
          </w:p>
          <w:p w14:paraId="7E0B2C6C" w14:textId="35572233" w:rsidR="00606929" w:rsidRPr="000E6026" w:rsidRDefault="00606929" w:rsidP="00613224">
            <w:pPr>
              <w:jc w:val="center"/>
              <w:rPr>
                <w:rFonts w:ascii="Verdana" w:hAnsi="Verdana"/>
                <w:b/>
              </w:rPr>
            </w:pPr>
            <w:r>
              <w:rPr>
                <w:rFonts w:ascii="Verdana" w:hAnsi="Verdana"/>
                <w:b/>
              </w:rPr>
              <w:t>Update</w:t>
            </w:r>
          </w:p>
        </w:tc>
      </w:tr>
      <w:tr w:rsidR="00D53DD1" w14:paraId="70C1B8D9" w14:textId="3CF6C156" w:rsidTr="00D57464">
        <w:tc>
          <w:tcPr>
            <w:tcW w:w="562" w:type="dxa"/>
          </w:tcPr>
          <w:p w14:paraId="3A67F403" w14:textId="77777777" w:rsidR="00D53DD1" w:rsidRDefault="00D53DD1" w:rsidP="00613224">
            <w:pPr>
              <w:rPr>
                <w:color w:val="FF0000"/>
              </w:rPr>
            </w:pPr>
          </w:p>
        </w:tc>
        <w:tc>
          <w:tcPr>
            <w:tcW w:w="1843" w:type="dxa"/>
          </w:tcPr>
          <w:p w14:paraId="4108DDE6" w14:textId="6A82A5E9" w:rsidR="00D53DD1" w:rsidRPr="000E6026" w:rsidRDefault="00D53DD1" w:rsidP="00613224">
            <w:pPr>
              <w:rPr>
                <w:rFonts w:ascii="Verdana" w:hAnsi="Verdana"/>
                <w:color w:val="FF0000"/>
              </w:rPr>
            </w:pPr>
            <w:r w:rsidRPr="000E6026">
              <w:rPr>
                <w:rFonts w:ascii="Verdana" w:hAnsi="Verdana"/>
              </w:rPr>
              <w:t>Work experience</w:t>
            </w:r>
          </w:p>
        </w:tc>
        <w:tc>
          <w:tcPr>
            <w:tcW w:w="2126" w:type="dxa"/>
          </w:tcPr>
          <w:p w14:paraId="64477E7B" w14:textId="77777777" w:rsidR="00D53DD1" w:rsidRDefault="00D53DD1" w:rsidP="00613224">
            <w:pPr>
              <w:rPr>
                <w:rFonts w:ascii="Verdana" w:hAnsi="Verdana"/>
              </w:rPr>
            </w:pPr>
            <w:r w:rsidRPr="000E6026">
              <w:rPr>
                <w:rFonts w:ascii="Verdana" w:hAnsi="Verdana"/>
              </w:rPr>
              <w:t>% of L2 &amp; L3 Voc. students undertaking work experience</w:t>
            </w:r>
            <w:r>
              <w:rPr>
                <w:rFonts w:ascii="Verdana" w:hAnsi="Verdana"/>
              </w:rPr>
              <w:t>.</w:t>
            </w:r>
          </w:p>
          <w:p w14:paraId="0C35A3FD" w14:textId="436712C2" w:rsidR="00606929" w:rsidRPr="000E6026" w:rsidRDefault="00606929" w:rsidP="00613224">
            <w:pPr>
              <w:rPr>
                <w:rFonts w:ascii="Verdana" w:hAnsi="Verdana"/>
                <w:color w:val="FF0000"/>
              </w:rPr>
            </w:pPr>
          </w:p>
        </w:tc>
        <w:tc>
          <w:tcPr>
            <w:tcW w:w="1418" w:type="dxa"/>
          </w:tcPr>
          <w:p w14:paraId="135D4980" w14:textId="77777777" w:rsidR="00D53DD1" w:rsidRDefault="00D53DD1" w:rsidP="00613224">
            <w:pPr>
              <w:jc w:val="center"/>
              <w:rPr>
                <w:rFonts w:ascii="Verdana" w:hAnsi="Verdana"/>
              </w:rPr>
            </w:pPr>
            <w:r>
              <w:rPr>
                <w:rFonts w:ascii="Verdana" w:hAnsi="Verdana"/>
              </w:rPr>
              <w:t>56</w:t>
            </w:r>
            <w:r w:rsidRPr="000E6026">
              <w:rPr>
                <w:rFonts w:ascii="Verdana" w:hAnsi="Verdana"/>
              </w:rPr>
              <w:t>%</w:t>
            </w:r>
            <w:r>
              <w:rPr>
                <w:rFonts w:ascii="Verdana" w:hAnsi="Verdana"/>
              </w:rPr>
              <w:t xml:space="preserve">  </w:t>
            </w:r>
          </w:p>
          <w:p w14:paraId="4B5AC2C2" w14:textId="25CC2501" w:rsidR="00D53DD1" w:rsidRDefault="00D53DD1" w:rsidP="00613224">
            <w:pPr>
              <w:jc w:val="center"/>
              <w:rPr>
                <w:rFonts w:ascii="Verdana" w:hAnsi="Verdana"/>
              </w:rPr>
            </w:pPr>
          </w:p>
          <w:p w14:paraId="00E0D5D0" w14:textId="55CD985B" w:rsidR="00D53DD1" w:rsidRPr="000E6026" w:rsidRDefault="00D53DD1" w:rsidP="00613224">
            <w:pPr>
              <w:jc w:val="center"/>
              <w:rPr>
                <w:rFonts w:ascii="Verdana" w:hAnsi="Verdana"/>
                <w:color w:val="FF0000"/>
              </w:rPr>
            </w:pPr>
          </w:p>
        </w:tc>
        <w:tc>
          <w:tcPr>
            <w:tcW w:w="1276" w:type="dxa"/>
          </w:tcPr>
          <w:p w14:paraId="4C77492E" w14:textId="5B6C87D6" w:rsidR="00D53DD1" w:rsidRPr="000E6026" w:rsidRDefault="00D53DD1" w:rsidP="00613224">
            <w:pPr>
              <w:jc w:val="center"/>
              <w:rPr>
                <w:rFonts w:ascii="Verdana" w:hAnsi="Verdana"/>
                <w:color w:val="FF0000"/>
              </w:rPr>
            </w:pPr>
            <w:r w:rsidRPr="00734AAC">
              <w:rPr>
                <w:rFonts w:ascii="Verdana" w:hAnsi="Verdana"/>
              </w:rPr>
              <w:t>80%</w:t>
            </w:r>
          </w:p>
        </w:tc>
        <w:tc>
          <w:tcPr>
            <w:tcW w:w="2268" w:type="dxa"/>
          </w:tcPr>
          <w:p w14:paraId="6163CAF2" w14:textId="76DC3906" w:rsidR="00D53DD1" w:rsidRPr="00734AAC" w:rsidRDefault="00ED573D" w:rsidP="00613224">
            <w:pPr>
              <w:jc w:val="center"/>
              <w:rPr>
                <w:rFonts w:ascii="Verdana" w:hAnsi="Verdana"/>
              </w:rPr>
            </w:pPr>
            <w:r>
              <w:rPr>
                <w:rFonts w:ascii="Verdana" w:hAnsi="Verdana"/>
              </w:rPr>
              <w:t>56</w:t>
            </w:r>
            <w:r w:rsidR="00606929">
              <w:rPr>
                <w:rFonts w:ascii="Verdana" w:hAnsi="Verdana"/>
              </w:rPr>
              <w:t xml:space="preserve">% </w:t>
            </w:r>
          </w:p>
        </w:tc>
      </w:tr>
      <w:tr w:rsidR="00ED573D" w14:paraId="0FD097B4" w14:textId="60989D0D" w:rsidTr="00D57464">
        <w:tc>
          <w:tcPr>
            <w:tcW w:w="562" w:type="dxa"/>
          </w:tcPr>
          <w:p w14:paraId="52DD50BF" w14:textId="77777777" w:rsidR="00ED573D" w:rsidRDefault="00ED573D" w:rsidP="00ED573D">
            <w:pPr>
              <w:rPr>
                <w:color w:val="FF0000"/>
              </w:rPr>
            </w:pPr>
          </w:p>
        </w:tc>
        <w:tc>
          <w:tcPr>
            <w:tcW w:w="1843" w:type="dxa"/>
          </w:tcPr>
          <w:p w14:paraId="0F6F893B" w14:textId="4158AB90" w:rsidR="00ED573D" w:rsidRPr="00ED573D" w:rsidRDefault="00ED573D" w:rsidP="00ED573D">
            <w:pPr>
              <w:rPr>
                <w:rFonts w:ascii="Verdana" w:hAnsi="Verdana"/>
                <w:color w:val="FF0000"/>
              </w:rPr>
            </w:pPr>
            <w:r w:rsidRPr="00ED573D">
              <w:rPr>
                <w:rFonts w:ascii="Verdana" w:hAnsi="Verdana"/>
              </w:rPr>
              <w:t xml:space="preserve">Student feedback </w:t>
            </w:r>
          </w:p>
        </w:tc>
        <w:tc>
          <w:tcPr>
            <w:tcW w:w="2126" w:type="dxa"/>
          </w:tcPr>
          <w:p w14:paraId="44F047BE" w14:textId="241B2997" w:rsidR="00ED573D" w:rsidRPr="00ED573D" w:rsidRDefault="00ED573D" w:rsidP="00ED573D">
            <w:pPr>
              <w:rPr>
                <w:rFonts w:ascii="Verdana" w:hAnsi="Verdana"/>
                <w:color w:val="FF0000"/>
              </w:rPr>
            </w:pPr>
            <w:r w:rsidRPr="00ED573D">
              <w:rPr>
                <w:rFonts w:ascii="Verdana" w:hAnsi="Verdana"/>
              </w:rPr>
              <w:t>% of students who would recommend SGMC to a friend (QDP)</w:t>
            </w:r>
          </w:p>
        </w:tc>
        <w:tc>
          <w:tcPr>
            <w:tcW w:w="1418" w:type="dxa"/>
          </w:tcPr>
          <w:p w14:paraId="50FD1D6A" w14:textId="41174B3D" w:rsidR="00ED573D" w:rsidRPr="00ED573D" w:rsidRDefault="00ED573D" w:rsidP="00ED573D">
            <w:pPr>
              <w:jc w:val="center"/>
              <w:rPr>
                <w:rFonts w:ascii="Verdana" w:hAnsi="Verdana"/>
                <w:color w:val="FF0000"/>
              </w:rPr>
            </w:pPr>
            <w:r w:rsidRPr="00ED573D">
              <w:rPr>
                <w:rFonts w:ascii="Verdana" w:hAnsi="Verdana"/>
              </w:rPr>
              <w:t>82%</w:t>
            </w:r>
          </w:p>
        </w:tc>
        <w:tc>
          <w:tcPr>
            <w:tcW w:w="1276" w:type="dxa"/>
          </w:tcPr>
          <w:p w14:paraId="195E39BC" w14:textId="798C2D7A" w:rsidR="00ED573D" w:rsidRPr="00ED573D" w:rsidRDefault="00ED573D" w:rsidP="00ED573D">
            <w:pPr>
              <w:jc w:val="center"/>
              <w:rPr>
                <w:rFonts w:ascii="Verdana" w:hAnsi="Verdana"/>
              </w:rPr>
            </w:pPr>
            <w:r w:rsidRPr="00ED573D">
              <w:rPr>
                <w:rFonts w:ascii="Verdana" w:hAnsi="Verdana"/>
              </w:rPr>
              <w:t>85%</w:t>
            </w:r>
          </w:p>
        </w:tc>
        <w:tc>
          <w:tcPr>
            <w:tcW w:w="2268" w:type="dxa"/>
          </w:tcPr>
          <w:p w14:paraId="59CDDC4E" w14:textId="7CA670A4" w:rsidR="00ED573D" w:rsidRPr="00ED573D" w:rsidRDefault="00ED573D" w:rsidP="00ED573D">
            <w:pPr>
              <w:jc w:val="center"/>
              <w:rPr>
                <w:rFonts w:ascii="Verdana" w:hAnsi="Verdana"/>
              </w:rPr>
            </w:pPr>
            <w:r w:rsidRPr="00ED573D">
              <w:rPr>
                <w:rFonts w:ascii="Verdana" w:hAnsi="Verdana"/>
              </w:rPr>
              <w:t>90% (pre-</w:t>
            </w:r>
            <w:proofErr w:type="spellStart"/>
            <w:r w:rsidRPr="00ED573D">
              <w:rPr>
                <w:rFonts w:ascii="Verdana" w:hAnsi="Verdana"/>
              </w:rPr>
              <w:t>Covid</w:t>
            </w:r>
            <w:proofErr w:type="spellEnd"/>
            <w:r w:rsidRPr="00ED573D">
              <w:rPr>
                <w:rFonts w:ascii="Verdana" w:hAnsi="Verdana"/>
              </w:rPr>
              <w:t xml:space="preserve"> 19</w:t>
            </w:r>
            <w:r>
              <w:rPr>
                <w:rFonts w:ascii="Verdana" w:hAnsi="Verdana"/>
              </w:rPr>
              <w:t>)</w:t>
            </w:r>
            <w:r w:rsidRPr="00ED573D">
              <w:rPr>
                <w:rFonts w:ascii="Verdana" w:hAnsi="Verdana"/>
              </w:rPr>
              <w:t xml:space="preserve">, </w:t>
            </w:r>
            <w:r>
              <w:rPr>
                <w:rFonts w:ascii="Verdana" w:hAnsi="Verdana"/>
              </w:rPr>
              <w:t xml:space="preserve">a </w:t>
            </w:r>
            <w:r w:rsidRPr="00ED573D">
              <w:rPr>
                <w:rFonts w:ascii="Verdana" w:hAnsi="Verdana"/>
              </w:rPr>
              <w:t xml:space="preserve">survey </w:t>
            </w:r>
            <w:r>
              <w:rPr>
                <w:rFonts w:ascii="Verdana" w:hAnsi="Verdana"/>
              </w:rPr>
              <w:t xml:space="preserve">is </w:t>
            </w:r>
            <w:r w:rsidRPr="00ED573D">
              <w:rPr>
                <w:rFonts w:ascii="Verdana" w:hAnsi="Verdana"/>
              </w:rPr>
              <w:t>planned for w/c 1</w:t>
            </w:r>
            <w:r w:rsidRPr="00ED573D">
              <w:rPr>
                <w:rFonts w:ascii="Verdana" w:hAnsi="Verdana"/>
                <w:vertAlign w:val="superscript"/>
              </w:rPr>
              <w:t>st</w:t>
            </w:r>
            <w:r w:rsidRPr="00ED573D">
              <w:rPr>
                <w:rFonts w:ascii="Verdana" w:hAnsi="Verdana"/>
              </w:rPr>
              <w:t xml:space="preserve"> June</w:t>
            </w:r>
            <w:r>
              <w:rPr>
                <w:rFonts w:ascii="Verdana" w:hAnsi="Verdana"/>
              </w:rPr>
              <w:t>.</w:t>
            </w:r>
          </w:p>
        </w:tc>
      </w:tr>
      <w:tr w:rsidR="00ED573D" w14:paraId="1463F58B" w14:textId="548F19A9" w:rsidTr="00D57464">
        <w:tc>
          <w:tcPr>
            <w:tcW w:w="562" w:type="dxa"/>
          </w:tcPr>
          <w:p w14:paraId="50588EE9" w14:textId="77777777" w:rsidR="00ED573D" w:rsidRDefault="00ED573D" w:rsidP="00ED573D">
            <w:pPr>
              <w:rPr>
                <w:color w:val="FF0000"/>
              </w:rPr>
            </w:pPr>
          </w:p>
        </w:tc>
        <w:tc>
          <w:tcPr>
            <w:tcW w:w="1843" w:type="dxa"/>
          </w:tcPr>
          <w:p w14:paraId="706F5529" w14:textId="7F3A84B8" w:rsidR="00ED573D" w:rsidRPr="00ED573D" w:rsidRDefault="00ED573D" w:rsidP="00ED573D">
            <w:pPr>
              <w:rPr>
                <w:rFonts w:ascii="Verdana" w:hAnsi="Verdana"/>
                <w:color w:val="FF0000"/>
              </w:rPr>
            </w:pPr>
            <w:r w:rsidRPr="00ED573D">
              <w:rPr>
                <w:rFonts w:ascii="Verdana" w:hAnsi="Verdana"/>
              </w:rPr>
              <w:t>Student feedback</w:t>
            </w:r>
          </w:p>
        </w:tc>
        <w:tc>
          <w:tcPr>
            <w:tcW w:w="2126" w:type="dxa"/>
          </w:tcPr>
          <w:p w14:paraId="3F0D22E0" w14:textId="75DB645E" w:rsidR="00ED573D" w:rsidRPr="00ED573D" w:rsidRDefault="00ED573D" w:rsidP="00ED573D">
            <w:pPr>
              <w:rPr>
                <w:rFonts w:ascii="Verdana" w:hAnsi="Verdana"/>
              </w:rPr>
            </w:pPr>
            <w:r w:rsidRPr="00ED573D">
              <w:rPr>
                <w:rFonts w:ascii="Verdana" w:hAnsi="Verdana"/>
              </w:rPr>
              <w:t xml:space="preserve">% of students who feel safe at </w:t>
            </w:r>
            <w:r>
              <w:rPr>
                <w:rFonts w:ascii="Verdana" w:hAnsi="Verdana"/>
              </w:rPr>
              <w:t>C</w:t>
            </w:r>
            <w:r w:rsidRPr="00ED573D">
              <w:rPr>
                <w:rFonts w:ascii="Verdana" w:hAnsi="Verdana"/>
              </w:rPr>
              <w:t>ollege</w:t>
            </w:r>
          </w:p>
          <w:p w14:paraId="7A2301E6" w14:textId="77777777" w:rsidR="00ED573D" w:rsidRPr="00ED573D" w:rsidRDefault="00ED573D" w:rsidP="00ED573D">
            <w:pPr>
              <w:rPr>
                <w:rFonts w:ascii="Verdana" w:hAnsi="Verdana"/>
                <w:color w:val="FF0000"/>
              </w:rPr>
            </w:pPr>
          </w:p>
        </w:tc>
        <w:tc>
          <w:tcPr>
            <w:tcW w:w="1418" w:type="dxa"/>
          </w:tcPr>
          <w:p w14:paraId="2C0CC613" w14:textId="75FFC908" w:rsidR="00ED573D" w:rsidRPr="00ED573D" w:rsidRDefault="00ED573D" w:rsidP="00ED573D">
            <w:pPr>
              <w:jc w:val="center"/>
              <w:rPr>
                <w:rFonts w:ascii="Verdana" w:hAnsi="Verdana"/>
                <w:color w:val="FF0000"/>
              </w:rPr>
            </w:pPr>
            <w:r w:rsidRPr="00ED573D">
              <w:rPr>
                <w:rFonts w:ascii="Verdana" w:hAnsi="Verdana"/>
              </w:rPr>
              <w:t>88%</w:t>
            </w:r>
          </w:p>
        </w:tc>
        <w:tc>
          <w:tcPr>
            <w:tcW w:w="1276" w:type="dxa"/>
          </w:tcPr>
          <w:p w14:paraId="01178193" w14:textId="7F50188D" w:rsidR="00ED573D" w:rsidRPr="00ED573D" w:rsidRDefault="00ED573D" w:rsidP="00ED573D">
            <w:pPr>
              <w:jc w:val="center"/>
              <w:rPr>
                <w:rFonts w:ascii="Verdana" w:hAnsi="Verdana"/>
              </w:rPr>
            </w:pPr>
            <w:r w:rsidRPr="00ED573D">
              <w:rPr>
                <w:rFonts w:ascii="Verdana" w:hAnsi="Verdana"/>
              </w:rPr>
              <w:t>95%</w:t>
            </w:r>
          </w:p>
        </w:tc>
        <w:tc>
          <w:tcPr>
            <w:tcW w:w="2268" w:type="dxa"/>
          </w:tcPr>
          <w:p w14:paraId="3914B249" w14:textId="77777777" w:rsidR="00ED573D" w:rsidRDefault="00ED573D" w:rsidP="00ED573D">
            <w:pPr>
              <w:jc w:val="center"/>
              <w:rPr>
                <w:rFonts w:ascii="Verdana" w:hAnsi="Verdana"/>
              </w:rPr>
            </w:pPr>
            <w:r w:rsidRPr="00ED573D">
              <w:rPr>
                <w:rFonts w:ascii="Verdana" w:hAnsi="Verdana"/>
              </w:rPr>
              <w:t>94% (pre-</w:t>
            </w:r>
            <w:proofErr w:type="spellStart"/>
            <w:r w:rsidRPr="00ED573D">
              <w:rPr>
                <w:rFonts w:ascii="Verdana" w:hAnsi="Verdana"/>
              </w:rPr>
              <w:t>Covid</w:t>
            </w:r>
            <w:proofErr w:type="spellEnd"/>
            <w:r w:rsidRPr="00ED573D">
              <w:rPr>
                <w:rFonts w:ascii="Verdana" w:hAnsi="Verdana"/>
              </w:rPr>
              <w:t xml:space="preserve"> 19</w:t>
            </w:r>
            <w:r>
              <w:rPr>
                <w:rFonts w:ascii="Verdana" w:hAnsi="Verdana"/>
              </w:rPr>
              <w:t>)</w:t>
            </w:r>
            <w:r w:rsidRPr="00ED573D">
              <w:rPr>
                <w:rFonts w:ascii="Verdana" w:hAnsi="Verdana"/>
              </w:rPr>
              <w:t xml:space="preserve">, </w:t>
            </w:r>
            <w:r>
              <w:rPr>
                <w:rFonts w:ascii="Verdana" w:hAnsi="Verdana"/>
              </w:rPr>
              <w:t xml:space="preserve">a </w:t>
            </w:r>
            <w:r w:rsidRPr="00ED573D">
              <w:rPr>
                <w:rFonts w:ascii="Verdana" w:hAnsi="Verdana"/>
              </w:rPr>
              <w:t xml:space="preserve">survey </w:t>
            </w:r>
            <w:r>
              <w:rPr>
                <w:rFonts w:ascii="Verdana" w:hAnsi="Verdana"/>
              </w:rPr>
              <w:t xml:space="preserve">is </w:t>
            </w:r>
            <w:r w:rsidRPr="00ED573D">
              <w:rPr>
                <w:rFonts w:ascii="Verdana" w:hAnsi="Verdana"/>
              </w:rPr>
              <w:t>planned for w/c 1</w:t>
            </w:r>
            <w:r w:rsidRPr="00ED573D">
              <w:rPr>
                <w:rFonts w:ascii="Verdana" w:hAnsi="Verdana"/>
                <w:vertAlign w:val="superscript"/>
              </w:rPr>
              <w:t>st</w:t>
            </w:r>
            <w:r w:rsidRPr="00ED573D">
              <w:rPr>
                <w:rFonts w:ascii="Verdana" w:hAnsi="Verdana"/>
              </w:rPr>
              <w:t xml:space="preserve"> June</w:t>
            </w:r>
            <w:r>
              <w:rPr>
                <w:rFonts w:ascii="Verdana" w:hAnsi="Verdana"/>
              </w:rPr>
              <w:t>.</w:t>
            </w:r>
          </w:p>
          <w:p w14:paraId="10D85079" w14:textId="682D9E09" w:rsidR="00ED573D" w:rsidRPr="00ED573D" w:rsidRDefault="00ED573D" w:rsidP="00ED573D">
            <w:pPr>
              <w:jc w:val="center"/>
              <w:rPr>
                <w:rFonts w:ascii="Verdana" w:hAnsi="Verdana"/>
              </w:rPr>
            </w:pPr>
          </w:p>
        </w:tc>
      </w:tr>
      <w:tr w:rsidR="00ED573D" w14:paraId="4326B39F" w14:textId="783CED4B" w:rsidTr="00D57464">
        <w:tc>
          <w:tcPr>
            <w:tcW w:w="562" w:type="dxa"/>
          </w:tcPr>
          <w:p w14:paraId="59CF8693" w14:textId="77777777" w:rsidR="00ED573D" w:rsidRDefault="00ED573D" w:rsidP="00ED573D">
            <w:pPr>
              <w:rPr>
                <w:color w:val="FF0000"/>
              </w:rPr>
            </w:pPr>
          </w:p>
        </w:tc>
        <w:tc>
          <w:tcPr>
            <w:tcW w:w="1843" w:type="dxa"/>
          </w:tcPr>
          <w:p w14:paraId="0A69FAB9" w14:textId="77777777" w:rsidR="00ED573D" w:rsidRPr="000E6026" w:rsidRDefault="00ED573D" w:rsidP="00ED573D">
            <w:pPr>
              <w:rPr>
                <w:rFonts w:ascii="Verdana" w:hAnsi="Verdana"/>
              </w:rPr>
            </w:pPr>
            <w:r w:rsidRPr="000E6026">
              <w:rPr>
                <w:rFonts w:ascii="Verdana" w:hAnsi="Verdana"/>
              </w:rPr>
              <w:t xml:space="preserve">Recruitment </w:t>
            </w:r>
          </w:p>
          <w:p w14:paraId="1EC44C2C" w14:textId="77777777" w:rsidR="00ED573D" w:rsidRPr="000E6026" w:rsidRDefault="00ED573D" w:rsidP="00ED573D">
            <w:pPr>
              <w:rPr>
                <w:rFonts w:ascii="Verdana" w:hAnsi="Verdana"/>
              </w:rPr>
            </w:pPr>
          </w:p>
          <w:p w14:paraId="096A8E45" w14:textId="77777777" w:rsidR="00ED573D" w:rsidRPr="000E6026" w:rsidRDefault="00ED573D" w:rsidP="00ED573D">
            <w:pPr>
              <w:rPr>
                <w:rFonts w:ascii="Verdana" w:hAnsi="Verdana"/>
                <w:color w:val="FF0000"/>
              </w:rPr>
            </w:pPr>
          </w:p>
        </w:tc>
        <w:tc>
          <w:tcPr>
            <w:tcW w:w="2126" w:type="dxa"/>
          </w:tcPr>
          <w:p w14:paraId="7E411FAB" w14:textId="77777777" w:rsidR="00ED573D" w:rsidRPr="00ED573D" w:rsidRDefault="00ED573D" w:rsidP="00ED573D">
            <w:pPr>
              <w:rPr>
                <w:rFonts w:ascii="Verdana" w:hAnsi="Verdana"/>
              </w:rPr>
            </w:pPr>
            <w:r w:rsidRPr="00ED573D">
              <w:rPr>
                <w:rFonts w:ascii="Verdana" w:hAnsi="Verdana"/>
              </w:rPr>
              <w:t xml:space="preserve">No. of EFA funded learners enrolled </w:t>
            </w:r>
          </w:p>
          <w:p w14:paraId="09E641BD" w14:textId="64FBAA57" w:rsidR="00ED573D" w:rsidRDefault="00ED573D" w:rsidP="00ED573D">
            <w:pPr>
              <w:rPr>
                <w:rFonts w:ascii="Verdana" w:hAnsi="Verdana"/>
              </w:rPr>
            </w:pPr>
            <w:r w:rsidRPr="00ED573D">
              <w:rPr>
                <w:rFonts w:ascii="Verdana" w:hAnsi="Verdana"/>
              </w:rPr>
              <w:t xml:space="preserve">at census dates. </w:t>
            </w:r>
            <w:r w:rsidRPr="00ED573D">
              <w:rPr>
                <w:rFonts w:ascii="Verdana" w:hAnsi="Verdana"/>
                <w:i/>
                <w:iCs/>
                <w:u w:val="single"/>
              </w:rPr>
              <w:t>Note</w:t>
            </w:r>
            <w:r>
              <w:rPr>
                <w:rFonts w:ascii="Verdana" w:hAnsi="Verdana"/>
                <w:i/>
                <w:iCs/>
              </w:rPr>
              <w:t>:</w:t>
            </w:r>
            <w:r w:rsidRPr="00ED573D">
              <w:rPr>
                <w:rFonts w:ascii="Verdana" w:hAnsi="Verdana"/>
              </w:rPr>
              <w:t xml:space="preserve"> the target for funding purposes is lower than 1820, but</w:t>
            </w:r>
            <w:r>
              <w:rPr>
                <w:rFonts w:ascii="Verdana" w:hAnsi="Verdana"/>
              </w:rPr>
              <w:t xml:space="preserve"> 1820</w:t>
            </w:r>
            <w:r w:rsidRPr="00ED573D">
              <w:rPr>
                <w:rFonts w:ascii="Verdana" w:hAnsi="Verdana"/>
              </w:rPr>
              <w:t xml:space="preserve"> </w:t>
            </w:r>
            <w:r>
              <w:rPr>
                <w:rFonts w:ascii="Verdana" w:hAnsi="Verdana"/>
              </w:rPr>
              <w:t>is used a</w:t>
            </w:r>
            <w:r w:rsidRPr="00ED573D">
              <w:rPr>
                <w:rFonts w:ascii="Verdana" w:hAnsi="Verdana"/>
              </w:rPr>
              <w:t>s a basis for planning purposes</w:t>
            </w:r>
            <w:r>
              <w:rPr>
                <w:rFonts w:ascii="Verdana" w:hAnsi="Verdana"/>
              </w:rPr>
              <w:t>.</w:t>
            </w:r>
          </w:p>
          <w:p w14:paraId="57E0B0E0" w14:textId="30961D13" w:rsidR="00ED573D" w:rsidRPr="00ED573D" w:rsidRDefault="00ED573D" w:rsidP="00ED573D">
            <w:pPr>
              <w:rPr>
                <w:rFonts w:ascii="Verdana" w:hAnsi="Verdana"/>
                <w:color w:val="FF0000"/>
              </w:rPr>
            </w:pPr>
          </w:p>
        </w:tc>
        <w:tc>
          <w:tcPr>
            <w:tcW w:w="1418" w:type="dxa"/>
          </w:tcPr>
          <w:p w14:paraId="61EE69F9" w14:textId="09DFF929" w:rsidR="00ED573D" w:rsidRPr="00ED573D" w:rsidRDefault="00ED573D" w:rsidP="00ED573D">
            <w:pPr>
              <w:jc w:val="center"/>
              <w:rPr>
                <w:rFonts w:ascii="Verdana" w:hAnsi="Verdana"/>
                <w:color w:val="FF0000"/>
              </w:rPr>
            </w:pPr>
            <w:r w:rsidRPr="00ED573D">
              <w:rPr>
                <w:rFonts w:ascii="Verdana" w:hAnsi="Verdana"/>
              </w:rPr>
              <w:t>1711</w:t>
            </w:r>
          </w:p>
        </w:tc>
        <w:tc>
          <w:tcPr>
            <w:tcW w:w="1276" w:type="dxa"/>
          </w:tcPr>
          <w:p w14:paraId="1264652E" w14:textId="21E94DB5" w:rsidR="00ED573D" w:rsidRPr="00ED573D" w:rsidRDefault="00ED573D" w:rsidP="00ED573D">
            <w:pPr>
              <w:jc w:val="center"/>
              <w:rPr>
                <w:rFonts w:ascii="Verdana" w:hAnsi="Verdana"/>
                <w:color w:val="FF0000"/>
              </w:rPr>
            </w:pPr>
            <w:r w:rsidRPr="00ED573D">
              <w:rPr>
                <w:rFonts w:ascii="Verdana" w:hAnsi="Verdana"/>
              </w:rPr>
              <w:t>1820</w:t>
            </w:r>
          </w:p>
        </w:tc>
        <w:tc>
          <w:tcPr>
            <w:tcW w:w="2268" w:type="dxa"/>
          </w:tcPr>
          <w:p w14:paraId="37A88E46" w14:textId="77777777" w:rsidR="00ED573D" w:rsidRPr="00ED573D" w:rsidRDefault="00ED573D" w:rsidP="00010E43">
            <w:pPr>
              <w:jc w:val="center"/>
              <w:rPr>
                <w:rFonts w:ascii="Verdana" w:hAnsi="Verdana"/>
              </w:rPr>
            </w:pPr>
            <w:r w:rsidRPr="00ED573D">
              <w:rPr>
                <w:rFonts w:ascii="Verdana" w:hAnsi="Verdana"/>
              </w:rPr>
              <w:t>1820 (medium range and ‘best guess’)</w:t>
            </w:r>
          </w:p>
          <w:p w14:paraId="54685DCA" w14:textId="0E56EC01" w:rsidR="00ED573D" w:rsidRPr="00ED573D" w:rsidRDefault="00ED573D" w:rsidP="00ED573D">
            <w:pPr>
              <w:jc w:val="center"/>
              <w:rPr>
                <w:rFonts w:ascii="Verdana" w:hAnsi="Verdana"/>
              </w:rPr>
            </w:pPr>
          </w:p>
        </w:tc>
      </w:tr>
      <w:tr w:rsidR="00D53DD1" w14:paraId="6C27679A" w14:textId="5606E19B" w:rsidTr="00D57464">
        <w:tc>
          <w:tcPr>
            <w:tcW w:w="562" w:type="dxa"/>
          </w:tcPr>
          <w:p w14:paraId="3EC5A34B" w14:textId="77777777" w:rsidR="00D53DD1" w:rsidRDefault="00D53DD1" w:rsidP="00174276">
            <w:pPr>
              <w:rPr>
                <w:color w:val="FF0000"/>
              </w:rPr>
            </w:pPr>
          </w:p>
        </w:tc>
        <w:tc>
          <w:tcPr>
            <w:tcW w:w="1843" w:type="dxa"/>
          </w:tcPr>
          <w:p w14:paraId="18583CF1" w14:textId="77777777" w:rsidR="00D53DD1" w:rsidRPr="000E6026" w:rsidRDefault="00D53DD1" w:rsidP="00174276">
            <w:pPr>
              <w:rPr>
                <w:rFonts w:ascii="Verdana" w:hAnsi="Verdana"/>
              </w:rPr>
            </w:pPr>
            <w:r w:rsidRPr="000E6026">
              <w:rPr>
                <w:rFonts w:ascii="Verdana" w:hAnsi="Verdana"/>
              </w:rPr>
              <w:t xml:space="preserve">Recruitment </w:t>
            </w:r>
          </w:p>
          <w:p w14:paraId="3F16477E" w14:textId="77777777" w:rsidR="00D53DD1" w:rsidRPr="000E6026" w:rsidRDefault="00D53DD1" w:rsidP="00174276">
            <w:pPr>
              <w:rPr>
                <w:rFonts w:ascii="Verdana" w:hAnsi="Verdana"/>
                <w:color w:val="FF0000"/>
              </w:rPr>
            </w:pPr>
          </w:p>
        </w:tc>
        <w:tc>
          <w:tcPr>
            <w:tcW w:w="2126" w:type="dxa"/>
          </w:tcPr>
          <w:p w14:paraId="44E32651" w14:textId="77777777" w:rsidR="00D53DD1" w:rsidRDefault="00D53DD1" w:rsidP="00174276">
            <w:pPr>
              <w:rPr>
                <w:rFonts w:ascii="Verdana" w:hAnsi="Verdana"/>
              </w:rPr>
            </w:pPr>
            <w:r w:rsidRPr="000E6026">
              <w:rPr>
                <w:rFonts w:ascii="Verdana" w:hAnsi="Verdana"/>
              </w:rPr>
              <w:t>Application to offer conversion rate</w:t>
            </w:r>
            <w:r>
              <w:rPr>
                <w:rFonts w:ascii="Verdana" w:hAnsi="Verdana"/>
              </w:rPr>
              <w:t>.</w:t>
            </w:r>
          </w:p>
          <w:p w14:paraId="06EC81B6" w14:textId="77777777" w:rsidR="00D53DD1" w:rsidRDefault="00D53DD1" w:rsidP="00174276">
            <w:pPr>
              <w:rPr>
                <w:rFonts w:ascii="Verdana" w:hAnsi="Verdana"/>
              </w:rPr>
            </w:pPr>
          </w:p>
          <w:p w14:paraId="31A455DB" w14:textId="77777777" w:rsidR="00467367" w:rsidRDefault="00467367" w:rsidP="00174276">
            <w:pPr>
              <w:rPr>
                <w:rFonts w:ascii="Verdana" w:hAnsi="Verdana"/>
              </w:rPr>
            </w:pPr>
          </w:p>
          <w:p w14:paraId="54C17F0B" w14:textId="3A38D731" w:rsidR="00467367" w:rsidRPr="00613224" w:rsidRDefault="00467367" w:rsidP="00174276">
            <w:pPr>
              <w:rPr>
                <w:rFonts w:ascii="Verdana" w:hAnsi="Verdana"/>
              </w:rPr>
            </w:pPr>
          </w:p>
        </w:tc>
        <w:tc>
          <w:tcPr>
            <w:tcW w:w="1418" w:type="dxa"/>
          </w:tcPr>
          <w:p w14:paraId="4D77F50D" w14:textId="77777777" w:rsidR="00D53DD1" w:rsidRDefault="00D53DD1" w:rsidP="00174276">
            <w:pPr>
              <w:jc w:val="center"/>
              <w:rPr>
                <w:rFonts w:ascii="Verdana" w:hAnsi="Verdana"/>
              </w:rPr>
            </w:pPr>
            <w:r>
              <w:rPr>
                <w:rFonts w:ascii="Verdana" w:hAnsi="Verdana"/>
              </w:rPr>
              <w:t>7</w:t>
            </w:r>
            <w:r w:rsidRPr="000E6026">
              <w:rPr>
                <w:rFonts w:ascii="Verdana" w:hAnsi="Verdana"/>
              </w:rPr>
              <w:t>5%</w:t>
            </w:r>
          </w:p>
          <w:p w14:paraId="1E33B3C5" w14:textId="5613B79D" w:rsidR="00D53DD1" w:rsidRPr="000E6026" w:rsidRDefault="00D53DD1" w:rsidP="00606929">
            <w:pPr>
              <w:jc w:val="center"/>
              <w:rPr>
                <w:rFonts w:ascii="Verdana" w:hAnsi="Verdana"/>
                <w:color w:val="FF0000"/>
              </w:rPr>
            </w:pPr>
          </w:p>
        </w:tc>
        <w:tc>
          <w:tcPr>
            <w:tcW w:w="1276" w:type="dxa"/>
          </w:tcPr>
          <w:p w14:paraId="40846030" w14:textId="0218D81A" w:rsidR="00D53DD1" w:rsidRPr="000E6026" w:rsidRDefault="00D53DD1" w:rsidP="00174276">
            <w:pPr>
              <w:jc w:val="center"/>
              <w:rPr>
                <w:rFonts w:ascii="Verdana" w:hAnsi="Verdana"/>
                <w:color w:val="FF0000"/>
              </w:rPr>
            </w:pPr>
            <w:r w:rsidRPr="00F46156">
              <w:rPr>
                <w:rFonts w:ascii="Verdana" w:hAnsi="Verdana"/>
              </w:rPr>
              <w:t>75%</w:t>
            </w:r>
          </w:p>
        </w:tc>
        <w:tc>
          <w:tcPr>
            <w:tcW w:w="2268" w:type="dxa"/>
          </w:tcPr>
          <w:p w14:paraId="6109E9F2" w14:textId="30CA9FCD" w:rsidR="00D53DD1" w:rsidRPr="00F46156" w:rsidRDefault="00606929" w:rsidP="00174276">
            <w:pPr>
              <w:jc w:val="center"/>
              <w:rPr>
                <w:rFonts w:ascii="Verdana" w:hAnsi="Verdana"/>
              </w:rPr>
            </w:pPr>
            <w:r>
              <w:rPr>
                <w:rFonts w:ascii="Verdana" w:hAnsi="Verdana"/>
              </w:rPr>
              <w:t>57%</w:t>
            </w:r>
          </w:p>
        </w:tc>
      </w:tr>
      <w:tr w:rsidR="00467367" w14:paraId="43C2EDD9" w14:textId="77777777" w:rsidTr="00D57464">
        <w:tc>
          <w:tcPr>
            <w:tcW w:w="562" w:type="dxa"/>
          </w:tcPr>
          <w:p w14:paraId="49E578AE" w14:textId="77777777" w:rsidR="00467367" w:rsidRDefault="00467367" w:rsidP="00467367">
            <w:pPr>
              <w:rPr>
                <w:color w:val="FF0000"/>
              </w:rPr>
            </w:pPr>
          </w:p>
        </w:tc>
        <w:tc>
          <w:tcPr>
            <w:tcW w:w="1843" w:type="dxa"/>
            <w:vAlign w:val="center"/>
          </w:tcPr>
          <w:p w14:paraId="035377F1" w14:textId="697E776E" w:rsidR="00467367" w:rsidRDefault="00467367" w:rsidP="00467367">
            <w:pPr>
              <w:rPr>
                <w:rFonts w:ascii="Verdana" w:hAnsi="Verdana"/>
              </w:rPr>
            </w:pPr>
            <w:r w:rsidRPr="000E6026">
              <w:rPr>
                <w:rFonts w:ascii="Verdana" w:hAnsi="Verdana"/>
                <w:b/>
              </w:rPr>
              <w:t>Performance Indicators</w:t>
            </w:r>
          </w:p>
        </w:tc>
        <w:tc>
          <w:tcPr>
            <w:tcW w:w="2126" w:type="dxa"/>
            <w:vAlign w:val="center"/>
          </w:tcPr>
          <w:p w14:paraId="342D0C07" w14:textId="33B8A9C1" w:rsidR="00467367" w:rsidRDefault="00467367" w:rsidP="00467367">
            <w:pPr>
              <w:rPr>
                <w:rFonts w:ascii="Verdana" w:hAnsi="Verdana"/>
              </w:rPr>
            </w:pPr>
            <w:r w:rsidRPr="000E6026">
              <w:rPr>
                <w:rFonts w:ascii="Verdana" w:hAnsi="Verdana"/>
                <w:b/>
              </w:rPr>
              <w:t>Measure</w:t>
            </w:r>
          </w:p>
        </w:tc>
        <w:tc>
          <w:tcPr>
            <w:tcW w:w="1418" w:type="dxa"/>
            <w:vAlign w:val="center"/>
          </w:tcPr>
          <w:p w14:paraId="4E550F14" w14:textId="77777777" w:rsidR="00467367" w:rsidRPr="000E6026" w:rsidRDefault="00467367" w:rsidP="00467367">
            <w:pPr>
              <w:jc w:val="center"/>
              <w:rPr>
                <w:rFonts w:ascii="Verdana" w:hAnsi="Verdana"/>
                <w:b/>
              </w:rPr>
            </w:pPr>
            <w:r>
              <w:rPr>
                <w:rFonts w:ascii="Verdana" w:hAnsi="Verdana"/>
                <w:b/>
              </w:rPr>
              <w:t>2018-19</w:t>
            </w:r>
          </w:p>
          <w:p w14:paraId="3030546C" w14:textId="77777777" w:rsidR="00467367" w:rsidRPr="000E6026" w:rsidRDefault="00467367" w:rsidP="00467367">
            <w:pPr>
              <w:jc w:val="center"/>
              <w:rPr>
                <w:rFonts w:ascii="Verdana" w:hAnsi="Verdana"/>
                <w:b/>
              </w:rPr>
            </w:pPr>
            <w:r w:rsidRPr="000E6026">
              <w:rPr>
                <w:rFonts w:ascii="Verdana" w:hAnsi="Verdana"/>
                <w:b/>
              </w:rPr>
              <w:t>Outcome</w:t>
            </w:r>
          </w:p>
          <w:p w14:paraId="3F333A38" w14:textId="77777777" w:rsidR="00467367" w:rsidRDefault="00467367" w:rsidP="00467367">
            <w:pPr>
              <w:rPr>
                <w:rFonts w:ascii="Verdana" w:hAnsi="Verdana"/>
              </w:rPr>
            </w:pPr>
          </w:p>
        </w:tc>
        <w:tc>
          <w:tcPr>
            <w:tcW w:w="1276" w:type="dxa"/>
            <w:vAlign w:val="center"/>
          </w:tcPr>
          <w:p w14:paraId="49238B20" w14:textId="77777777" w:rsidR="00467367" w:rsidRPr="000E6026" w:rsidRDefault="00467367" w:rsidP="00467367">
            <w:pPr>
              <w:jc w:val="center"/>
              <w:rPr>
                <w:rFonts w:ascii="Verdana" w:hAnsi="Verdana"/>
                <w:b/>
              </w:rPr>
            </w:pPr>
            <w:r w:rsidRPr="000E6026">
              <w:rPr>
                <w:rFonts w:ascii="Verdana" w:hAnsi="Verdana"/>
                <w:b/>
              </w:rPr>
              <w:t>201</w:t>
            </w:r>
            <w:r>
              <w:rPr>
                <w:rFonts w:ascii="Verdana" w:hAnsi="Verdana"/>
                <w:b/>
              </w:rPr>
              <w:t>9-20</w:t>
            </w:r>
            <w:r w:rsidRPr="000E6026">
              <w:rPr>
                <w:rFonts w:ascii="Verdana" w:hAnsi="Verdana"/>
                <w:b/>
              </w:rPr>
              <w:t xml:space="preserve"> Target</w:t>
            </w:r>
          </w:p>
          <w:p w14:paraId="2B4D4060" w14:textId="739D26EF" w:rsidR="00467367" w:rsidRPr="00FD4019" w:rsidRDefault="00467367" w:rsidP="00467367">
            <w:pPr>
              <w:jc w:val="center"/>
              <w:rPr>
                <w:rFonts w:ascii="Verdana" w:hAnsi="Verdana"/>
              </w:rPr>
            </w:pPr>
            <w:r w:rsidRPr="000E6026">
              <w:rPr>
                <w:rFonts w:ascii="Verdana" w:hAnsi="Verdana"/>
                <w:b/>
              </w:rPr>
              <w:t>%</w:t>
            </w:r>
          </w:p>
        </w:tc>
        <w:tc>
          <w:tcPr>
            <w:tcW w:w="2268" w:type="dxa"/>
          </w:tcPr>
          <w:p w14:paraId="6EEB96A2" w14:textId="77777777" w:rsidR="00467367" w:rsidRDefault="00467367" w:rsidP="00467367">
            <w:pPr>
              <w:jc w:val="center"/>
              <w:rPr>
                <w:rFonts w:ascii="Verdana" w:hAnsi="Verdana"/>
                <w:b/>
              </w:rPr>
            </w:pPr>
            <w:r>
              <w:rPr>
                <w:rFonts w:ascii="Verdana" w:hAnsi="Verdana"/>
                <w:b/>
              </w:rPr>
              <w:t>May 20</w:t>
            </w:r>
          </w:p>
          <w:p w14:paraId="4DAB6809" w14:textId="5EFEAFC6" w:rsidR="00467367" w:rsidRDefault="00467367" w:rsidP="00467367">
            <w:pPr>
              <w:jc w:val="center"/>
              <w:rPr>
                <w:rFonts w:ascii="Verdana" w:hAnsi="Verdana"/>
              </w:rPr>
            </w:pPr>
            <w:r>
              <w:rPr>
                <w:rFonts w:ascii="Verdana" w:hAnsi="Verdana"/>
                <w:b/>
              </w:rPr>
              <w:t>Update</w:t>
            </w:r>
          </w:p>
        </w:tc>
      </w:tr>
      <w:tr w:rsidR="00467367" w14:paraId="58A08060" w14:textId="0D8DA513" w:rsidTr="00D57464">
        <w:tc>
          <w:tcPr>
            <w:tcW w:w="562" w:type="dxa"/>
          </w:tcPr>
          <w:p w14:paraId="6D99B321" w14:textId="77777777" w:rsidR="00467367" w:rsidRDefault="00467367" w:rsidP="00467367">
            <w:pPr>
              <w:rPr>
                <w:color w:val="FF0000"/>
              </w:rPr>
            </w:pPr>
          </w:p>
        </w:tc>
        <w:tc>
          <w:tcPr>
            <w:tcW w:w="1843" w:type="dxa"/>
          </w:tcPr>
          <w:p w14:paraId="4E7AF31A" w14:textId="77777777" w:rsidR="00467367" w:rsidRDefault="00467367" w:rsidP="00467367">
            <w:pPr>
              <w:rPr>
                <w:rFonts w:ascii="Verdana" w:hAnsi="Verdana"/>
              </w:rPr>
            </w:pPr>
          </w:p>
          <w:p w14:paraId="6E20CEE3" w14:textId="03C59893" w:rsidR="00467367" w:rsidRPr="00EA2CE0" w:rsidRDefault="00467367" w:rsidP="00467367">
            <w:pPr>
              <w:rPr>
                <w:rFonts w:ascii="Verdana" w:hAnsi="Verdana"/>
              </w:rPr>
            </w:pPr>
            <w:r w:rsidRPr="00EA2CE0">
              <w:rPr>
                <w:rFonts w:ascii="Verdana" w:hAnsi="Verdana"/>
              </w:rPr>
              <w:t>Internal Progression</w:t>
            </w:r>
          </w:p>
          <w:p w14:paraId="3C79DD78" w14:textId="77777777" w:rsidR="00467367" w:rsidRPr="000E6026" w:rsidRDefault="00467367" w:rsidP="00467367">
            <w:pPr>
              <w:rPr>
                <w:rFonts w:ascii="Verdana" w:hAnsi="Verdana"/>
                <w:b/>
              </w:rPr>
            </w:pPr>
          </w:p>
        </w:tc>
        <w:tc>
          <w:tcPr>
            <w:tcW w:w="2126" w:type="dxa"/>
          </w:tcPr>
          <w:p w14:paraId="75F4C941" w14:textId="77777777" w:rsidR="00467367" w:rsidRDefault="00467367" w:rsidP="00467367">
            <w:pPr>
              <w:rPr>
                <w:rFonts w:ascii="Verdana" w:hAnsi="Verdana"/>
              </w:rPr>
            </w:pPr>
          </w:p>
          <w:p w14:paraId="7D55CA64" w14:textId="376D44CA" w:rsidR="00467367" w:rsidRDefault="00467367" w:rsidP="00467367">
            <w:pPr>
              <w:rPr>
                <w:rFonts w:ascii="Verdana" w:hAnsi="Verdana"/>
              </w:rPr>
            </w:pPr>
            <w:r w:rsidRPr="00EA2CE0">
              <w:rPr>
                <w:rFonts w:ascii="Verdana" w:hAnsi="Verdana"/>
              </w:rPr>
              <w:t>% of students progressing from vocational L2 –L3</w:t>
            </w:r>
            <w:r>
              <w:rPr>
                <w:rFonts w:ascii="Verdana" w:hAnsi="Verdana"/>
              </w:rPr>
              <w:t>.</w:t>
            </w:r>
          </w:p>
          <w:p w14:paraId="652338CE" w14:textId="77777777" w:rsidR="00467367" w:rsidRDefault="00467367" w:rsidP="00467367">
            <w:pPr>
              <w:rPr>
                <w:rFonts w:ascii="Verdana" w:hAnsi="Verdana"/>
                <w:b/>
              </w:rPr>
            </w:pPr>
          </w:p>
          <w:p w14:paraId="2A320E66" w14:textId="1A0AA8B5" w:rsidR="00467367" w:rsidRPr="000E6026" w:rsidRDefault="00467367" w:rsidP="00467367">
            <w:pPr>
              <w:rPr>
                <w:rFonts w:ascii="Verdana" w:hAnsi="Verdana"/>
                <w:b/>
              </w:rPr>
            </w:pPr>
          </w:p>
        </w:tc>
        <w:tc>
          <w:tcPr>
            <w:tcW w:w="1418" w:type="dxa"/>
            <w:vAlign w:val="center"/>
          </w:tcPr>
          <w:p w14:paraId="5D5F35AC" w14:textId="6665FD00" w:rsidR="00467367" w:rsidRPr="00FD4019" w:rsidRDefault="00467367" w:rsidP="00467367">
            <w:pPr>
              <w:rPr>
                <w:rFonts w:ascii="Verdana" w:hAnsi="Verdana"/>
                <w:b/>
              </w:rPr>
            </w:pPr>
            <w:r>
              <w:rPr>
                <w:rFonts w:ascii="Verdana" w:hAnsi="Verdana"/>
              </w:rPr>
              <w:t xml:space="preserve">     </w:t>
            </w:r>
            <w:r w:rsidRPr="00FD4019">
              <w:rPr>
                <w:rFonts w:ascii="Verdana" w:hAnsi="Verdana"/>
              </w:rPr>
              <w:t>79%</w:t>
            </w:r>
          </w:p>
        </w:tc>
        <w:tc>
          <w:tcPr>
            <w:tcW w:w="1276" w:type="dxa"/>
            <w:vAlign w:val="center"/>
          </w:tcPr>
          <w:p w14:paraId="289AE06D" w14:textId="323BDF84" w:rsidR="00467367" w:rsidRPr="00FD4019" w:rsidRDefault="00467367" w:rsidP="00467367">
            <w:pPr>
              <w:jc w:val="center"/>
              <w:rPr>
                <w:rFonts w:ascii="Verdana" w:hAnsi="Verdana"/>
                <w:b/>
              </w:rPr>
            </w:pPr>
            <w:r w:rsidRPr="00FD4019">
              <w:rPr>
                <w:rFonts w:ascii="Verdana" w:hAnsi="Verdana"/>
              </w:rPr>
              <w:t>80%</w:t>
            </w:r>
          </w:p>
        </w:tc>
        <w:tc>
          <w:tcPr>
            <w:tcW w:w="2268" w:type="dxa"/>
            <w:vAlign w:val="center"/>
          </w:tcPr>
          <w:p w14:paraId="1F5F9A35" w14:textId="77777777" w:rsidR="00467367" w:rsidRDefault="00467367" w:rsidP="00467367">
            <w:pPr>
              <w:jc w:val="center"/>
              <w:rPr>
                <w:rFonts w:ascii="Verdana" w:hAnsi="Verdana"/>
              </w:rPr>
            </w:pPr>
          </w:p>
          <w:p w14:paraId="0E027C68" w14:textId="1DD728C6" w:rsidR="00467367" w:rsidRPr="00FD4019" w:rsidRDefault="00467367" w:rsidP="00467367">
            <w:pPr>
              <w:jc w:val="center"/>
              <w:rPr>
                <w:rFonts w:ascii="Verdana" w:hAnsi="Verdana"/>
              </w:rPr>
            </w:pPr>
            <w:r w:rsidRPr="00FD4019">
              <w:rPr>
                <w:rFonts w:ascii="Verdana" w:hAnsi="Verdana"/>
              </w:rPr>
              <w:t xml:space="preserve">Estimate </w:t>
            </w:r>
            <w:r>
              <w:rPr>
                <w:rFonts w:ascii="Verdana" w:hAnsi="Verdana"/>
              </w:rPr>
              <w:t xml:space="preserve">as </w:t>
            </w:r>
            <w:r w:rsidRPr="00FD4019">
              <w:rPr>
                <w:rFonts w:ascii="Verdana" w:hAnsi="Verdana"/>
              </w:rPr>
              <w:t>a</w:t>
            </w:r>
            <w:r>
              <w:rPr>
                <w:rFonts w:ascii="Verdana" w:hAnsi="Verdana"/>
              </w:rPr>
              <w:t>t</w:t>
            </w:r>
            <w:r w:rsidRPr="00FD4019">
              <w:rPr>
                <w:rFonts w:ascii="Verdana" w:hAnsi="Verdana"/>
              </w:rPr>
              <w:t xml:space="preserve"> 2</w:t>
            </w:r>
            <w:r>
              <w:rPr>
                <w:rFonts w:ascii="Verdana" w:hAnsi="Verdana"/>
              </w:rPr>
              <w:t>9</w:t>
            </w:r>
            <w:r w:rsidRPr="00FD4019">
              <w:rPr>
                <w:rFonts w:ascii="Verdana" w:hAnsi="Verdana"/>
              </w:rPr>
              <w:t xml:space="preserve"> June</w:t>
            </w:r>
          </w:p>
        </w:tc>
      </w:tr>
      <w:tr w:rsidR="00467367" w14:paraId="27A29195" w14:textId="464063DC" w:rsidTr="00D57464">
        <w:tc>
          <w:tcPr>
            <w:tcW w:w="562" w:type="dxa"/>
          </w:tcPr>
          <w:p w14:paraId="6CD9460C" w14:textId="77777777" w:rsidR="00467367" w:rsidRDefault="00467367" w:rsidP="00467367">
            <w:pPr>
              <w:rPr>
                <w:color w:val="FF0000"/>
              </w:rPr>
            </w:pPr>
          </w:p>
        </w:tc>
        <w:tc>
          <w:tcPr>
            <w:tcW w:w="1843" w:type="dxa"/>
          </w:tcPr>
          <w:p w14:paraId="4E0C2033" w14:textId="77777777" w:rsidR="00467367" w:rsidRPr="00EA2CE0" w:rsidRDefault="00467367" w:rsidP="00467367">
            <w:pPr>
              <w:rPr>
                <w:rFonts w:ascii="Verdana" w:hAnsi="Verdana"/>
              </w:rPr>
            </w:pPr>
            <w:r w:rsidRPr="00EA2CE0">
              <w:rPr>
                <w:rFonts w:ascii="Verdana" w:hAnsi="Verdana"/>
              </w:rPr>
              <w:t>Internal Progression</w:t>
            </w:r>
          </w:p>
          <w:p w14:paraId="666119E4" w14:textId="77777777" w:rsidR="00467367" w:rsidRPr="000E6026" w:rsidRDefault="00467367" w:rsidP="00467367">
            <w:pPr>
              <w:rPr>
                <w:rFonts w:ascii="Verdana" w:hAnsi="Verdana"/>
                <w:b/>
              </w:rPr>
            </w:pPr>
          </w:p>
        </w:tc>
        <w:tc>
          <w:tcPr>
            <w:tcW w:w="2126" w:type="dxa"/>
          </w:tcPr>
          <w:p w14:paraId="5E29214D" w14:textId="77777777" w:rsidR="00467367" w:rsidRPr="00FD4019" w:rsidRDefault="00467367" w:rsidP="00467367">
            <w:pPr>
              <w:rPr>
                <w:rFonts w:ascii="Verdana" w:hAnsi="Verdana"/>
              </w:rPr>
            </w:pPr>
            <w:r w:rsidRPr="00FD4019">
              <w:rPr>
                <w:rFonts w:ascii="Verdana" w:hAnsi="Verdana"/>
              </w:rPr>
              <w:t>% of students progressing from A level year 1 to A-level year 2</w:t>
            </w:r>
          </w:p>
          <w:p w14:paraId="362B3072" w14:textId="46BF4481" w:rsidR="00467367" w:rsidRPr="00FD4019" w:rsidRDefault="00467367" w:rsidP="00467367">
            <w:pPr>
              <w:rPr>
                <w:rFonts w:ascii="Verdana" w:hAnsi="Verdana"/>
                <w:b/>
              </w:rPr>
            </w:pPr>
          </w:p>
        </w:tc>
        <w:tc>
          <w:tcPr>
            <w:tcW w:w="1418" w:type="dxa"/>
            <w:vAlign w:val="center"/>
          </w:tcPr>
          <w:p w14:paraId="5F888CF2" w14:textId="77777777" w:rsidR="00467367" w:rsidRPr="00FD4019" w:rsidRDefault="00467367" w:rsidP="00467367">
            <w:pPr>
              <w:jc w:val="center"/>
              <w:rPr>
                <w:rFonts w:ascii="Verdana" w:hAnsi="Verdana"/>
              </w:rPr>
            </w:pPr>
            <w:r w:rsidRPr="00FD4019">
              <w:rPr>
                <w:rFonts w:ascii="Verdana" w:hAnsi="Verdana"/>
              </w:rPr>
              <w:t>86%</w:t>
            </w:r>
          </w:p>
          <w:p w14:paraId="31EE5F7B" w14:textId="3B3EDE57" w:rsidR="00467367" w:rsidRPr="00FD4019" w:rsidRDefault="00467367" w:rsidP="00467367">
            <w:pPr>
              <w:jc w:val="center"/>
              <w:rPr>
                <w:rFonts w:ascii="Verdana" w:hAnsi="Verdana"/>
                <w:b/>
              </w:rPr>
            </w:pPr>
          </w:p>
        </w:tc>
        <w:tc>
          <w:tcPr>
            <w:tcW w:w="1276" w:type="dxa"/>
            <w:vAlign w:val="center"/>
          </w:tcPr>
          <w:p w14:paraId="6F0C9DC0" w14:textId="77777777" w:rsidR="00467367" w:rsidRPr="00FD4019" w:rsidRDefault="00467367" w:rsidP="00467367">
            <w:pPr>
              <w:jc w:val="center"/>
              <w:rPr>
                <w:rFonts w:ascii="Verdana" w:hAnsi="Verdana"/>
              </w:rPr>
            </w:pPr>
            <w:r w:rsidRPr="00FD4019">
              <w:rPr>
                <w:rFonts w:ascii="Verdana" w:hAnsi="Verdana"/>
              </w:rPr>
              <w:t>90%</w:t>
            </w:r>
          </w:p>
          <w:p w14:paraId="20D1B1E6" w14:textId="75E47AFB" w:rsidR="00467367" w:rsidRPr="00FD4019" w:rsidRDefault="00467367" w:rsidP="00467367">
            <w:pPr>
              <w:jc w:val="center"/>
              <w:rPr>
                <w:rFonts w:ascii="Verdana" w:hAnsi="Verdana"/>
                <w:b/>
              </w:rPr>
            </w:pPr>
          </w:p>
        </w:tc>
        <w:tc>
          <w:tcPr>
            <w:tcW w:w="2268" w:type="dxa"/>
          </w:tcPr>
          <w:p w14:paraId="7C507F6E" w14:textId="77777777" w:rsidR="00467367" w:rsidRDefault="00467367" w:rsidP="00467367">
            <w:pPr>
              <w:jc w:val="center"/>
              <w:rPr>
                <w:rFonts w:ascii="Verdana" w:hAnsi="Verdana"/>
              </w:rPr>
            </w:pPr>
          </w:p>
          <w:p w14:paraId="2F43C219" w14:textId="5AD74338" w:rsidR="00467367" w:rsidRPr="00FD4019" w:rsidRDefault="00467367" w:rsidP="00467367">
            <w:pPr>
              <w:jc w:val="center"/>
              <w:rPr>
                <w:rFonts w:ascii="Verdana" w:hAnsi="Verdana"/>
              </w:rPr>
            </w:pPr>
            <w:r w:rsidRPr="00FD4019">
              <w:rPr>
                <w:rFonts w:ascii="Verdana" w:hAnsi="Verdana"/>
              </w:rPr>
              <w:t xml:space="preserve">Estimate as </w:t>
            </w:r>
            <w:r>
              <w:rPr>
                <w:rFonts w:ascii="Verdana" w:hAnsi="Verdana"/>
              </w:rPr>
              <w:t>at</w:t>
            </w:r>
            <w:r w:rsidRPr="00FD4019">
              <w:rPr>
                <w:rFonts w:ascii="Verdana" w:hAnsi="Verdana"/>
              </w:rPr>
              <w:t xml:space="preserve"> 29 June</w:t>
            </w:r>
          </w:p>
        </w:tc>
      </w:tr>
      <w:tr w:rsidR="00467367" w14:paraId="2B36F95F" w14:textId="77777777" w:rsidTr="00D57464">
        <w:tc>
          <w:tcPr>
            <w:tcW w:w="562" w:type="dxa"/>
          </w:tcPr>
          <w:p w14:paraId="329032CE" w14:textId="77777777" w:rsidR="00467367" w:rsidRDefault="00467367" w:rsidP="00467367">
            <w:pPr>
              <w:rPr>
                <w:color w:val="FF0000"/>
              </w:rPr>
            </w:pPr>
          </w:p>
        </w:tc>
        <w:tc>
          <w:tcPr>
            <w:tcW w:w="1843" w:type="dxa"/>
          </w:tcPr>
          <w:p w14:paraId="449E2895" w14:textId="77777777" w:rsidR="00467367" w:rsidRPr="00EA2CE0" w:rsidRDefault="00467367" w:rsidP="00467367">
            <w:pPr>
              <w:rPr>
                <w:rFonts w:ascii="Verdana" w:hAnsi="Verdana"/>
              </w:rPr>
            </w:pPr>
            <w:r w:rsidRPr="00EA2CE0">
              <w:rPr>
                <w:rFonts w:ascii="Verdana" w:hAnsi="Verdana"/>
              </w:rPr>
              <w:t>Internal Progression</w:t>
            </w:r>
          </w:p>
          <w:p w14:paraId="60F9E406" w14:textId="77777777" w:rsidR="00467367" w:rsidRPr="00EA2CE0" w:rsidRDefault="00467367" w:rsidP="00467367">
            <w:pPr>
              <w:rPr>
                <w:rFonts w:ascii="Verdana" w:hAnsi="Verdana"/>
              </w:rPr>
            </w:pPr>
          </w:p>
        </w:tc>
        <w:tc>
          <w:tcPr>
            <w:tcW w:w="2126" w:type="dxa"/>
          </w:tcPr>
          <w:p w14:paraId="06D49F4A" w14:textId="6F9C3049" w:rsidR="00467367" w:rsidRPr="00FD4019" w:rsidRDefault="00467367" w:rsidP="00467367">
            <w:pPr>
              <w:rPr>
                <w:rFonts w:ascii="Verdana" w:hAnsi="Verdana"/>
                <w:b/>
              </w:rPr>
            </w:pPr>
            <w:r w:rsidRPr="00FD4019">
              <w:rPr>
                <w:rFonts w:ascii="Verdana" w:hAnsi="Verdana"/>
              </w:rPr>
              <w:t>% of students progressing from A Level Year 1 in total</w:t>
            </w:r>
            <w:r w:rsidRPr="00FD4019">
              <w:rPr>
                <w:rFonts w:ascii="Verdana" w:hAnsi="Verdana"/>
                <w:b/>
              </w:rPr>
              <w:t xml:space="preserve"> </w:t>
            </w:r>
          </w:p>
          <w:p w14:paraId="6DAD9630" w14:textId="77777777" w:rsidR="00467367" w:rsidRPr="00606929" w:rsidRDefault="00467367" w:rsidP="00467367">
            <w:pPr>
              <w:rPr>
                <w:rFonts w:ascii="Verdana" w:hAnsi="Verdana"/>
                <w:sz w:val="20"/>
                <w:szCs w:val="20"/>
              </w:rPr>
            </w:pPr>
          </w:p>
        </w:tc>
        <w:tc>
          <w:tcPr>
            <w:tcW w:w="1418" w:type="dxa"/>
          </w:tcPr>
          <w:p w14:paraId="3767B1BD" w14:textId="4F52343C" w:rsidR="00467367" w:rsidRDefault="00467367" w:rsidP="00467367">
            <w:pPr>
              <w:jc w:val="center"/>
              <w:rPr>
                <w:rFonts w:ascii="Verdana" w:hAnsi="Verdana"/>
              </w:rPr>
            </w:pPr>
            <w:r>
              <w:rPr>
                <w:rFonts w:ascii="Verdana" w:hAnsi="Verdana"/>
              </w:rPr>
              <w:t>93%</w:t>
            </w:r>
          </w:p>
        </w:tc>
        <w:tc>
          <w:tcPr>
            <w:tcW w:w="1276" w:type="dxa"/>
          </w:tcPr>
          <w:p w14:paraId="201A74B5" w14:textId="687DC015" w:rsidR="00467367" w:rsidRDefault="00467367" w:rsidP="00467367">
            <w:pPr>
              <w:jc w:val="center"/>
              <w:rPr>
                <w:rFonts w:ascii="Verdana" w:hAnsi="Verdana"/>
              </w:rPr>
            </w:pPr>
            <w:r>
              <w:rPr>
                <w:rFonts w:ascii="Verdana" w:hAnsi="Verdana"/>
              </w:rPr>
              <w:t>94%</w:t>
            </w:r>
          </w:p>
        </w:tc>
        <w:tc>
          <w:tcPr>
            <w:tcW w:w="2268" w:type="dxa"/>
          </w:tcPr>
          <w:p w14:paraId="31FBFD73" w14:textId="5B36A25D" w:rsidR="00467367" w:rsidRPr="00FD4019" w:rsidRDefault="00467367" w:rsidP="00467367">
            <w:pPr>
              <w:jc w:val="center"/>
              <w:rPr>
                <w:rFonts w:ascii="Verdana" w:hAnsi="Verdana"/>
              </w:rPr>
            </w:pPr>
            <w:r w:rsidRPr="00FD4019">
              <w:rPr>
                <w:rFonts w:ascii="Verdana" w:hAnsi="Verdana"/>
              </w:rPr>
              <w:t xml:space="preserve">Estimate as </w:t>
            </w:r>
            <w:r>
              <w:rPr>
                <w:rFonts w:ascii="Verdana" w:hAnsi="Verdana"/>
              </w:rPr>
              <w:t>at</w:t>
            </w:r>
            <w:r w:rsidRPr="00FD4019">
              <w:rPr>
                <w:rFonts w:ascii="Verdana" w:hAnsi="Verdana"/>
              </w:rPr>
              <w:t xml:space="preserve"> 29 June</w:t>
            </w:r>
          </w:p>
        </w:tc>
      </w:tr>
      <w:tr w:rsidR="00467367" w14:paraId="53E7FFCA" w14:textId="77777777" w:rsidTr="00D57464">
        <w:tc>
          <w:tcPr>
            <w:tcW w:w="562" w:type="dxa"/>
          </w:tcPr>
          <w:p w14:paraId="25F43AC8" w14:textId="77777777" w:rsidR="00467367" w:rsidRDefault="00467367" w:rsidP="00467367">
            <w:pPr>
              <w:rPr>
                <w:color w:val="FF0000"/>
              </w:rPr>
            </w:pPr>
          </w:p>
        </w:tc>
        <w:tc>
          <w:tcPr>
            <w:tcW w:w="1843" w:type="dxa"/>
          </w:tcPr>
          <w:p w14:paraId="75173B64" w14:textId="77777777" w:rsidR="00467367" w:rsidRPr="00EA2CE0" w:rsidRDefault="00467367" w:rsidP="00467367">
            <w:pPr>
              <w:rPr>
                <w:rFonts w:ascii="Verdana" w:hAnsi="Verdana"/>
              </w:rPr>
            </w:pPr>
            <w:r w:rsidRPr="00EA2CE0">
              <w:rPr>
                <w:rFonts w:ascii="Verdana" w:hAnsi="Verdana"/>
              </w:rPr>
              <w:t>Internal Progression</w:t>
            </w:r>
          </w:p>
          <w:p w14:paraId="257FE120" w14:textId="77777777" w:rsidR="00467367" w:rsidRPr="00EA2CE0" w:rsidRDefault="00467367" w:rsidP="00467367">
            <w:pPr>
              <w:rPr>
                <w:rFonts w:ascii="Verdana" w:hAnsi="Verdana"/>
              </w:rPr>
            </w:pPr>
          </w:p>
        </w:tc>
        <w:tc>
          <w:tcPr>
            <w:tcW w:w="2126" w:type="dxa"/>
          </w:tcPr>
          <w:p w14:paraId="3D29B7DA" w14:textId="77777777" w:rsidR="00467367" w:rsidRDefault="00467367" w:rsidP="00467367">
            <w:pPr>
              <w:rPr>
                <w:rFonts w:ascii="Verdana" w:hAnsi="Verdana"/>
                <w:sz w:val="20"/>
                <w:szCs w:val="20"/>
              </w:rPr>
            </w:pPr>
            <w:r w:rsidRPr="00606929">
              <w:rPr>
                <w:rFonts w:ascii="Verdana" w:hAnsi="Verdana"/>
                <w:sz w:val="20"/>
                <w:szCs w:val="20"/>
              </w:rPr>
              <w:t>% of students progressing from A Level Year 1 in total</w:t>
            </w:r>
          </w:p>
          <w:p w14:paraId="35EC53A1" w14:textId="6325D358" w:rsidR="00467367" w:rsidRPr="00606929" w:rsidRDefault="00467367" w:rsidP="00467367">
            <w:pPr>
              <w:rPr>
                <w:rFonts w:ascii="Verdana" w:hAnsi="Verdana"/>
              </w:rPr>
            </w:pPr>
          </w:p>
        </w:tc>
        <w:tc>
          <w:tcPr>
            <w:tcW w:w="1418" w:type="dxa"/>
          </w:tcPr>
          <w:p w14:paraId="46511A82" w14:textId="1CD4C59C" w:rsidR="00467367" w:rsidRDefault="00467367" w:rsidP="00467367">
            <w:pPr>
              <w:jc w:val="center"/>
              <w:rPr>
                <w:rFonts w:ascii="Verdana" w:hAnsi="Verdana"/>
              </w:rPr>
            </w:pPr>
            <w:r>
              <w:rPr>
                <w:rFonts w:ascii="Verdana" w:hAnsi="Verdana"/>
              </w:rPr>
              <w:t>93%</w:t>
            </w:r>
          </w:p>
        </w:tc>
        <w:tc>
          <w:tcPr>
            <w:tcW w:w="1276" w:type="dxa"/>
          </w:tcPr>
          <w:p w14:paraId="3072D0F5" w14:textId="0DED15FB" w:rsidR="00467367" w:rsidRPr="00F46156" w:rsidRDefault="00467367" w:rsidP="00467367">
            <w:pPr>
              <w:jc w:val="center"/>
              <w:rPr>
                <w:rFonts w:ascii="Verdana" w:hAnsi="Verdana"/>
              </w:rPr>
            </w:pPr>
            <w:r>
              <w:rPr>
                <w:rFonts w:ascii="Verdana" w:hAnsi="Verdana"/>
              </w:rPr>
              <w:t>94%</w:t>
            </w:r>
          </w:p>
        </w:tc>
        <w:tc>
          <w:tcPr>
            <w:tcW w:w="2268" w:type="dxa"/>
          </w:tcPr>
          <w:p w14:paraId="3FC717C7" w14:textId="432035AA" w:rsidR="00467367" w:rsidRPr="00F46156" w:rsidRDefault="00467367" w:rsidP="00467367">
            <w:pPr>
              <w:jc w:val="center"/>
              <w:rPr>
                <w:rFonts w:ascii="Verdana" w:hAnsi="Verdana"/>
              </w:rPr>
            </w:pPr>
            <w:r w:rsidRPr="00FD4019">
              <w:rPr>
                <w:rFonts w:ascii="Verdana" w:hAnsi="Verdana"/>
              </w:rPr>
              <w:t xml:space="preserve">Estimate as </w:t>
            </w:r>
            <w:r>
              <w:rPr>
                <w:rFonts w:ascii="Verdana" w:hAnsi="Verdana"/>
              </w:rPr>
              <w:t>at</w:t>
            </w:r>
            <w:r w:rsidRPr="00FD4019">
              <w:rPr>
                <w:rFonts w:ascii="Verdana" w:hAnsi="Verdana"/>
              </w:rPr>
              <w:t xml:space="preserve"> 29 June</w:t>
            </w:r>
          </w:p>
        </w:tc>
      </w:tr>
      <w:tr w:rsidR="00467367" w14:paraId="4BCED94C" w14:textId="6CFA99CB" w:rsidTr="00D57464">
        <w:tc>
          <w:tcPr>
            <w:tcW w:w="562" w:type="dxa"/>
          </w:tcPr>
          <w:p w14:paraId="55851DF8" w14:textId="77777777" w:rsidR="00467367" w:rsidRDefault="00467367" w:rsidP="00467367">
            <w:pPr>
              <w:rPr>
                <w:color w:val="FF0000"/>
              </w:rPr>
            </w:pPr>
          </w:p>
        </w:tc>
        <w:tc>
          <w:tcPr>
            <w:tcW w:w="1843" w:type="dxa"/>
          </w:tcPr>
          <w:p w14:paraId="77659D43" w14:textId="77777777" w:rsidR="00467367" w:rsidRPr="00EA2CE0" w:rsidRDefault="00467367" w:rsidP="00467367">
            <w:pPr>
              <w:rPr>
                <w:rFonts w:ascii="Verdana" w:hAnsi="Verdana"/>
              </w:rPr>
            </w:pPr>
            <w:r w:rsidRPr="00EA2CE0">
              <w:rPr>
                <w:rFonts w:ascii="Verdana" w:hAnsi="Verdana"/>
              </w:rPr>
              <w:t>Internal Progression</w:t>
            </w:r>
          </w:p>
          <w:p w14:paraId="6EDB983F" w14:textId="77777777" w:rsidR="00467367" w:rsidRPr="00EA2CE0" w:rsidRDefault="00467367" w:rsidP="00467367">
            <w:pPr>
              <w:rPr>
                <w:rFonts w:ascii="Verdana" w:hAnsi="Verdana"/>
              </w:rPr>
            </w:pPr>
          </w:p>
        </w:tc>
        <w:tc>
          <w:tcPr>
            <w:tcW w:w="2126" w:type="dxa"/>
          </w:tcPr>
          <w:p w14:paraId="796C8AF7" w14:textId="516760B0" w:rsidR="00467367" w:rsidRPr="00F46156" w:rsidRDefault="00467367" w:rsidP="00467367">
            <w:pPr>
              <w:rPr>
                <w:rFonts w:ascii="Verdana" w:hAnsi="Verdana"/>
              </w:rPr>
            </w:pPr>
            <w:r w:rsidRPr="00F46156">
              <w:rPr>
                <w:rFonts w:ascii="Verdana" w:hAnsi="Verdana"/>
              </w:rPr>
              <w:t xml:space="preserve">% of students progressing from A Level Year 1 in total  </w:t>
            </w:r>
          </w:p>
        </w:tc>
        <w:tc>
          <w:tcPr>
            <w:tcW w:w="1418" w:type="dxa"/>
          </w:tcPr>
          <w:p w14:paraId="541C1D17" w14:textId="4093D8EE" w:rsidR="00467367" w:rsidRPr="00EA2CE0" w:rsidRDefault="00467367" w:rsidP="00467367">
            <w:pPr>
              <w:jc w:val="center"/>
              <w:rPr>
                <w:rFonts w:ascii="Verdana" w:hAnsi="Verdana"/>
              </w:rPr>
            </w:pPr>
            <w:r>
              <w:rPr>
                <w:rFonts w:ascii="Verdana" w:hAnsi="Verdana"/>
              </w:rPr>
              <w:t>93%</w:t>
            </w:r>
          </w:p>
        </w:tc>
        <w:tc>
          <w:tcPr>
            <w:tcW w:w="1276" w:type="dxa"/>
          </w:tcPr>
          <w:p w14:paraId="5594E2D5" w14:textId="0CA3AD9F" w:rsidR="00467367" w:rsidRPr="00174276" w:rsidRDefault="00467367" w:rsidP="00467367">
            <w:pPr>
              <w:jc w:val="center"/>
              <w:rPr>
                <w:rFonts w:ascii="Verdana" w:hAnsi="Verdana"/>
                <w:color w:val="FF0000"/>
              </w:rPr>
            </w:pPr>
            <w:r w:rsidRPr="00F46156">
              <w:rPr>
                <w:rFonts w:ascii="Verdana" w:hAnsi="Verdana"/>
              </w:rPr>
              <w:t>94%</w:t>
            </w:r>
          </w:p>
        </w:tc>
        <w:tc>
          <w:tcPr>
            <w:tcW w:w="2268" w:type="dxa"/>
          </w:tcPr>
          <w:p w14:paraId="64EAF94E" w14:textId="2BE9C47E" w:rsidR="00467367" w:rsidRPr="00F46156" w:rsidRDefault="00467367" w:rsidP="00467367">
            <w:pPr>
              <w:jc w:val="center"/>
              <w:rPr>
                <w:rFonts w:ascii="Verdana" w:hAnsi="Verdana"/>
              </w:rPr>
            </w:pPr>
            <w:r w:rsidRPr="00FD4019">
              <w:rPr>
                <w:rFonts w:ascii="Verdana" w:hAnsi="Verdana"/>
              </w:rPr>
              <w:t xml:space="preserve">Estimate as </w:t>
            </w:r>
            <w:r>
              <w:rPr>
                <w:rFonts w:ascii="Verdana" w:hAnsi="Verdana"/>
              </w:rPr>
              <w:t>at</w:t>
            </w:r>
            <w:r w:rsidRPr="00FD4019">
              <w:rPr>
                <w:rFonts w:ascii="Verdana" w:hAnsi="Verdana"/>
              </w:rPr>
              <w:t xml:space="preserve"> 29 June</w:t>
            </w:r>
          </w:p>
        </w:tc>
      </w:tr>
      <w:tr w:rsidR="00467367" w14:paraId="0E39D2D2" w14:textId="31A98D8E" w:rsidTr="00D57464">
        <w:tc>
          <w:tcPr>
            <w:tcW w:w="562" w:type="dxa"/>
          </w:tcPr>
          <w:p w14:paraId="0A50559B" w14:textId="77777777" w:rsidR="00467367" w:rsidRDefault="00467367" w:rsidP="00467367">
            <w:pPr>
              <w:rPr>
                <w:color w:val="FF0000"/>
              </w:rPr>
            </w:pPr>
          </w:p>
        </w:tc>
        <w:tc>
          <w:tcPr>
            <w:tcW w:w="1843" w:type="dxa"/>
          </w:tcPr>
          <w:p w14:paraId="7757651C" w14:textId="77777777" w:rsidR="00467367" w:rsidRPr="00EA2CE0" w:rsidRDefault="00467367" w:rsidP="00467367">
            <w:pPr>
              <w:rPr>
                <w:rFonts w:ascii="Verdana" w:hAnsi="Verdana"/>
              </w:rPr>
            </w:pPr>
            <w:r w:rsidRPr="00EA2CE0">
              <w:rPr>
                <w:rFonts w:ascii="Verdana" w:hAnsi="Verdana"/>
              </w:rPr>
              <w:t>Internal Progression</w:t>
            </w:r>
          </w:p>
          <w:p w14:paraId="46F0C6FE" w14:textId="77777777" w:rsidR="00467367" w:rsidRPr="00EA2CE0" w:rsidRDefault="00467367" w:rsidP="00467367">
            <w:pPr>
              <w:rPr>
                <w:rFonts w:ascii="Verdana" w:hAnsi="Verdana"/>
              </w:rPr>
            </w:pPr>
          </w:p>
        </w:tc>
        <w:tc>
          <w:tcPr>
            <w:tcW w:w="2126" w:type="dxa"/>
          </w:tcPr>
          <w:p w14:paraId="3A61B149" w14:textId="77777777" w:rsidR="00467367" w:rsidRDefault="00467367" w:rsidP="00467367">
            <w:pPr>
              <w:rPr>
                <w:rFonts w:ascii="Verdana" w:hAnsi="Verdana"/>
              </w:rPr>
            </w:pPr>
            <w:r w:rsidRPr="00EA2CE0">
              <w:rPr>
                <w:rFonts w:ascii="Verdana" w:hAnsi="Verdana"/>
              </w:rPr>
              <w:t>% of students progressing from L3 BTEC Y1 to Y2</w:t>
            </w:r>
          </w:p>
          <w:p w14:paraId="1E0ED425" w14:textId="32B3E4EA" w:rsidR="00467367" w:rsidRPr="00EA2CE0" w:rsidRDefault="00467367" w:rsidP="00467367">
            <w:pPr>
              <w:rPr>
                <w:rFonts w:ascii="Verdana" w:hAnsi="Verdana"/>
              </w:rPr>
            </w:pPr>
          </w:p>
        </w:tc>
        <w:tc>
          <w:tcPr>
            <w:tcW w:w="1418" w:type="dxa"/>
          </w:tcPr>
          <w:p w14:paraId="302B4AB0" w14:textId="77777777" w:rsidR="00467367" w:rsidRPr="00EA2CE0" w:rsidRDefault="00467367" w:rsidP="00467367">
            <w:pPr>
              <w:jc w:val="center"/>
              <w:rPr>
                <w:rFonts w:ascii="Verdana" w:hAnsi="Verdana"/>
              </w:rPr>
            </w:pPr>
            <w:r w:rsidRPr="00EA2CE0">
              <w:rPr>
                <w:rFonts w:ascii="Verdana" w:hAnsi="Verdana"/>
              </w:rPr>
              <w:t>96%</w:t>
            </w:r>
          </w:p>
          <w:p w14:paraId="39ED4910" w14:textId="6FCAAE9C" w:rsidR="00467367" w:rsidRPr="00EA2CE0" w:rsidRDefault="00467367" w:rsidP="00467367">
            <w:pPr>
              <w:jc w:val="center"/>
              <w:rPr>
                <w:rFonts w:ascii="Verdana" w:hAnsi="Verdana"/>
              </w:rPr>
            </w:pPr>
          </w:p>
        </w:tc>
        <w:tc>
          <w:tcPr>
            <w:tcW w:w="1276" w:type="dxa"/>
          </w:tcPr>
          <w:p w14:paraId="5F18B870" w14:textId="04B36A83" w:rsidR="00467367" w:rsidRPr="00F46156" w:rsidRDefault="00467367" w:rsidP="00467367">
            <w:pPr>
              <w:jc w:val="center"/>
              <w:rPr>
                <w:rFonts w:ascii="Verdana" w:hAnsi="Verdana"/>
              </w:rPr>
            </w:pPr>
            <w:r>
              <w:rPr>
                <w:rFonts w:ascii="Verdana" w:hAnsi="Verdana"/>
              </w:rPr>
              <w:t>95%</w:t>
            </w:r>
          </w:p>
        </w:tc>
        <w:tc>
          <w:tcPr>
            <w:tcW w:w="2268" w:type="dxa"/>
          </w:tcPr>
          <w:p w14:paraId="50A85AA6" w14:textId="63C5B7D8" w:rsidR="00467367" w:rsidRDefault="00467367" w:rsidP="00467367">
            <w:pPr>
              <w:jc w:val="center"/>
              <w:rPr>
                <w:rFonts w:ascii="Verdana" w:hAnsi="Verdana"/>
              </w:rPr>
            </w:pPr>
            <w:r w:rsidRPr="00FD4019">
              <w:rPr>
                <w:rFonts w:ascii="Verdana" w:hAnsi="Verdana"/>
              </w:rPr>
              <w:t xml:space="preserve">Estimate as </w:t>
            </w:r>
            <w:r>
              <w:rPr>
                <w:rFonts w:ascii="Verdana" w:hAnsi="Verdana"/>
              </w:rPr>
              <w:t>at</w:t>
            </w:r>
            <w:r w:rsidRPr="00FD4019">
              <w:rPr>
                <w:rFonts w:ascii="Verdana" w:hAnsi="Verdana"/>
              </w:rPr>
              <w:t xml:space="preserve"> 29 June</w:t>
            </w:r>
            <w:r>
              <w:rPr>
                <w:rFonts w:ascii="Verdana" w:hAnsi="Verdana"/>
              </w:rPr>
              <w:t xml:space="preserve"> </w:t>
            </w:r>
          </w:p>
        </w:tc>
      </w:tr>
      <w:tr w:rsidR="00467367" w14:paraId="7A1605E3" w14:textId="1DD81857" w:rsidTr="00D57464">
        <w:tc>
          <w:tcPr>
            <w:tcW w:w="562" w:type="dxa"/>
          </w:tcPr>
          <w:p w14:paraId="1C76309A" w14:textId="77777777" w:rsidR="00467367" w:rsidRDefault="00467367" w:rsidP="00467367">
            <w:pPr>
              <w:rPr>
                <w:color w:val="FF0000"/>
              </w:rPr>
            </w:pPr>
          </w:p>
        </w:tc>
        <w:tc>
          <w:tcPr>
            <w:tcW w:w="1843" w:type="dxa"/>
          </w:tcPr>
          <w:p w14:paraId="7D333638" w14:textId="157F19CE" w:rsidR="00467367" w:rsidRPr="00EA2CE0" w:rsidRDefault="00467367" w:rsidP="00467367">
            <w:pPr>
              <w:rPr>
                <w:rFonts w:ascii="Verdana" w:hAnsi="Verdana"/>
              </w:rPr>
            </w:pPr>
            <w:r w:rsidRPr="00EA2CE0">
              <w:rPr>
                <w:rFonts w:ascii="Verdana" w:hAnsi="Verdana"/>
              </w:rPr>
              <w:t>Internal Progression</w:t>
            </w:r>
          </w:p>
        </w:tc>
        <w:tc>
          <w:tcPr>
            <w:tcW w:w="2126" w:type="dxa"/>
          </w:tcPr>
          <w:p w14:paraId="30B3FDFA" w14:textId="76BD970F" w:rsidR="00467367" w:rsidRPr="00EA2CE0" w:rsidRDefault="00467367" w:rsidP="00467367">
            <w:pPr>
              <w:rPr>
                <w:rFonts w:ascii="Verdana" w:hAnsi="Verdana"/>
              </w:rPr>
            </w:pPr>
            <w:r w:rsidRPr="00EA2CE0">
              <w:rPr>
                <w:rFonts w:ascii="Verdana" w:hAnsi="Verdana"/>
              </w:rPr>
              <w:t>% of all students who could return to the college in the college in 18/19 who do</w:t>
            </w:r>
          </w:p>
        </w:tc>
        <w:tc>
          <w:tcPr>
            <w:tcW w:w="1418" w:type="dxa"/>
          </w:tcPr>
          <w:p w14:paraId="7410A751" w14:textId="01190DDC" w:rsidR="00467367" w:rsidRPr="00EA2CE0" w:rsidRDefault="00467367" w:rsidP="00467367">
            <w:pPr>
              <w:jc w:val="center"/>
              <w:rPr>
                <w:rFonts w:ascii="Verdana" w:hAnsi="Verdana"/>
              </w:rPr>
            </w:pPr>
            <w:r w:rsidRPr="00EA2CE0">
              <w:rPr>
                <w:rFonts w:ascii="Verdana" w:hAnsi="Verdana"/>
              </w:rPr>
              <w:t>9</w:t>
            </w:r>
            <w:r>
              <w:rPr>
                <w:rFonts w:ascii="Verdana" w:hAnsi="Verdana"/>
              </w:rPr>
              <w:t>0</w:t>
            </w:r>
            <w:r w:rsidRPr="00EA2CE0">
              <w:rPr>
                <w:rFonts w:ascii="Verdana" w:hAnsi="Verdana"/>
              </w:rPr>
              <w:t>%</w:t>
            </w:r>
          </w:p>
          <w:p w14:paraId="04232E93" w14:textId="4D99803F" w:rsidR="00467367" w:rsidRPr="00EA2CE0" w:rsidRDefault="00467367" w:rsidP="00467367">
            <w:pPr>
              <w:jc w:val="center"/>
              <w:rPr>
                <w:rFonts w:ascii="Verdana" w:hAnsi="Verdana"/>
              </w:rPr>
            </w:pPr>
          </w:p>
        </w:tc>
        <w:tc>
          <w:tcPr>
            <w:tcW w:w="1276" w:type="dxa"/>
          </w:tcPr>
          <w:p w14:paraId="54BE6D35" w14:textId="7A28FD3E" w:rsidR="00467367" w:rsidRPr="00F46156" w:rsidRDefault="00467367" w:rsidP="00467367">
            <w:pPr>
              <w:jc w:val="center"/>
              <w:rPr>
                <w:rFonts w:ascii="Verdana" w:hAnsi="Verdana"/>
              </w:rPr>
            </w:pPr>
            <w:r>
              <w:rPr>
                <w:rFonts w:ascii="Verdana" w:hAnsi="Verdana"/>
              </w:rPr>
              <w:t>90%</w:t>
            </w:r>
          </w:p>
        </w:tc>
        <w:tc>
          <w:tcPr>
            <w:tcW w:w="2268" w:type="dxa"/>
          </w:tcPr>
          <w:p w14:paraId="062A82CC" w14:textId="30357425" w:rsidR="00467367" w:rsidRDefault="00467367" w:rsidP="00467367">
            <w:pPr>
              <w:jc w:val="center"/>
              <w:rPr>
                <w:rFonts w:ascii="Verdana" w:hAnsi="Verdana"/>
              </w:rPr>
            </w:pPr>
            <w:r w:rsidRPr="00FD4019">
              <w:rPr>
                <w:rFonts w:ascii="Verdana" w:hAnsi="Verdana"/>
              </w:rPr>
              <w:t xml:space="preserve">Estimate as </w:t>
            </w:r>
            <w:r>
              <w:rPr>
                <w:rFonts w:ascii="Verdana" w:hAnsi="Verdana"/>
              </w:rPr>
              <w:t>at</w:t>
            </w:r>
            <w:r w:rsidRPr="00FD4019">
              <w:rPr>
                <w:rFonts w:ascii="Verdana" w:hAnsi="Verdana"/>
              </w:rPr>
              <w:t xml:space="preserve"> 29 June</w:t>
            </w:r>
          </w:p>
        </w:tc>
      </w:tr>
    </w:tbl>
    <w:p w14:paraId="66B1FDA2" w14:textId="62CFAE0B" w:rsidR="001E635C" w:rsidRDefault="001E635C" w:rsidP="00626F4B">
      <w:pPr>
        <w:rPr>
          <w:color w:val="FF0000"/>
        </w:rPr>
      </w:pPr>
    </w:p>
    <w:tbl>
      <w:tblPr>
        <w:tblW w:w="9464" w:type="dxa"/>
        <w:tblCellMar>
          <w:left w:w="10" w:type="dxa"/>
          <w:right w:w="10" w:type="dxa"/>
        </w:tblCellMar>
        <w:tblLook w:val="0000" w:firstRow="0" w:lastRow="0" w:firstColumn="0" w:lastColumn="0" w:noHBand="0" w:noVBand="0"/>
      </w:tblPr>
      <w:tblGrid>
        <w:gridCol w:w="529"/>
        <w:gridCol w:w="8935"/>
      </w:tblGrid>
      <w:tr w:rsidR="006C1EE2" w:rsidRPr="006D35B2" w14:paraId="2DB343E5" w14:textId="77777777" w:rsidTr="00B812ED">
        <w:tc>
          <w:tcPr>
            <w:tcW w:w="529" w:type="dxa"/>
            <w:shd w:val="clear" w:color="auto" w:fill="auto"/>
            <w:tcMar>
              <w:top w:w="0" w:type="dxa"/>
              <w:left w:w="108" w:type="dxa"/>
              <w:bottom w:w="0" w:type="dxa"/>
              <w:right w:w="108" w:type="dxa"/>
            </w:tcMar>
          </w:tcPr>
          <w:p w14:paraId="37023DEE" w14:textId="7C079494" w:rsidR="006C1EE2" w:rsidRDefault="006C1EE2" w:rsidP="00467367">
            <w:pPr>
              <w:pStyle w:val="NoSpacing"/>
              <w:rPr>
                <w:b/>
              </w:rPr>
            </w:pPr>
          </w:p>
        </w:tc>
        <w:tc>
          <w:tcPr>
            <w:tcW w:w="8935" w:type="dxa"/>
            <w:shd w:val="clear" w:color="auto" w:fill="auto"/>
            <w:tcMar>
              <w:top w:w="0" w:type="dxa"/>
              <w:left w:w="108" w:type="dxa"/>
              <w:bottom w:w="0" w:type="dxa"/>
              <w:right w:w="108" w:type="dxa"/>
            </w:tcMar>
          </w:tcPr>
          <w:p w14:paraId="6ACF4C69" w14:textId="1C625B11" w:rsidR="006C1EE2" w:rsidRPr="006D35B2" w:rsidRDefault="00467367" w:rsidP="00467367">
            <w:pPr>
              <w:rPr>
                <w:rFonts w:ascii="Verdana" w:hAnsi="Verdana"/>
              </w:rPr>
            </w:pPr>
            <w:r>
              <w:rPr>
                <w:rFonts w:ascii="Verdana" w:hAnsi="Verdana"/>
              </w:rPr>
              <w:t xml:space="preserve">It was reported that a further student survey, examining </w:t>
            </w:r>
            <w:r w:rsidRPr="00467367">
              <w:rPr>
                <w:rFonts w:ascii="Verdana" w:hAnsi="Verdana"/>
                <w:i/>
                <w:iCs/>
              </w:rPr>
              <w:t>inter alia</w:t>
            </w:r>
            <w:r>
              <w:rPr>
                <w:rFonts w:ascii="Verdana" w:hAnsi="Verdana"/>
              </w:rPr>
              <w:t xml:space="preserve"> feedback on the online learning experience and perceptions of wellness during </w:t>
            </w:r>
            <w:r w:rsidR="00B812ED">
              <w:rPr>
                <w:rFonts w:ascii="Verdana" w:hAnsi="Verdana"/>
              </w:rPr>
              <w:t>“</w:t>
            </w:r>
            <w:r>
              <w:rPr>
                <w:rFonts w:ascii="Verdana" w:hAnsi="Verdana"/>
              </w:rPr>
              <w:t>lockdown</w:t>
            </w:r>
            <w:r w:rsidR="00B812ED">
              <w:rPr>
                <w:rFonts w:ascii="Verdana" w:hAnsi="Verdana"/>
              </w:rPr>
              <w:t>”</w:t>
            </w:r>
            <w:r>
              <w:rPr>
                <w:rFonts w:ascii="Verdana" w:hAnsi="Verdana"/>
              </w:rPr>
              <w:t xml:space="preserve"> will be conducted during the week beginning 15 June.</w:t>
            </w:r>
          </w:p>
        </w:tc>
      </w:tr>
    </w:tbl>
    <w:p w14:paraId="775ADE4E" w14:textId="77777777" w:rsidR="00467367" w:rsidRDefault="00467367" w:rsidP="00626F4B">
      <w:pPr>
        <w:rPr>
          <w:color w:val="FF0000"/>
        </w:rPr>
      </w:pPr>
    </w:p>
    <w:tbl>
      <w:tblPr>
        <w:tblW w:w="9464" w:type="dxa"/>
        <w:tblCellMar>
          <w:left w:w="10" w:type="dxa"/>
          <w:right w:w="10" w:type="dxa"/>
        </w:tblCellMar>
        <w:tblLook w:val="0000" w:firstRow="0" w:lastRow="0" w:firstColumn="0" w:lastColumn="0" w:noHBand="0" w:noVBand="0"/>
      </w:tblPr>
      <w:tblGrid>
        <w:gridCol w:w="529"/>
        <w:gridCol w:w="8935"/>
      </w:tblGrid>
      <w:tr w:rsidR="00896A58" w:rsidRPr="006D35B2" w14:paraId="5C452245" w14:textId="77777777" w:rsidTr="00B812ED">
        <w:tc>
          <w:tcPr>
            <w:tcW w:w="529" w:type="dxa"/>
            <w:shd w:val="clear" w:color="auto" w:fill="auto"/>
            <w:tcMar>
              <w:top w:w="0" w:type="dxa"/>
              <w:left w:w="108" w:type="dxa"/>
              <w:bottom w:w="0" w:type="dxa"/>
              <w:right w:w="108" w:type="dxa"/>
            </w:tcMar>
          </w:tcPr>
          <w:p w14:paraId="3F74BF0E" w14:textId="3E0998DC" w:rsidR="00896A58" w:rsidRDefault="00896A58" w:rsidP="000542FE">
            <w:pPr>
              <w:pStyle w:val="NoSpacing"/>
              <w:rPr>
                <w:b/>
              </w:rPr>
            </w:pPr>
            <w:r>
              <w:rPr>
                <w:b/>
              </w:rPr>
              <w:t>9</w:t>
            </w:r>
          </w:p>
        </w:tc>
        <w:tc>
          <w:tcPr>
            <w:tcW w:w="8935" w:type="dxa"/>
            <w:shd w:val="clear" w:color="auto" w:fill="auto"/>
            <w:tcMar>
              <w:top w:w="0" w:type="dxa"/>
              <w:left w:w="108" w:type="dxa"/>
              <w:bottom w:w="0" w:type="dxa"/>
              <w:right w:w="108" w:type="dxa"/>
            </w:tcMar>
          </w:tcPr>
          <w:p w14:paraId="7CD2559F" w14:textId="6A56CF3D" w:rsidR="00896A58" w:rsidRDefault="00333F86" w:rsidP="000542FE">
            <w:pPr>
              <w:rPr>
                <w:rFonts w:ascii="Verdana" w:hAnsi="Verdana"/>
                <w:b/>
              </w:rPr>
            </w:pPr>
            <w:r>
              <w:rPr>
                <w:rFonts w:ascii="Verdana" w:hAnsi="Verdana"/>
                <w:b/>
              </w:rPr>
              <w:t>Safeguarding</w:t>
            </w:r>
          </w:p>
          <w:p w14:paraId="2C2BB74A" w14:textId="77777777" w:rsidR="00896A58" w:rsidRDefault="00896A58" w:rsidP="000542FE">
            <w:pPr>
              <w:rPr>
                <w:rFonts w:ascii="Verdana" w:hAnsi="Verdana"/>
              </w:rPr>
            </w:pPr>
          </w:p>
          <w:p w14:paraId="2423558C" w14:textId="3BC849F3" w:rsidR="00896A58" w:rsidRDefault="00896A58" w:rsidP="000542FE">
            <w:pPr>
              <w:rPr>
                <w:rFonts w:ascii="Verdana" w:hAnsi="Verdana"/>
              </w:rPr>
            </w:pPr>
            <w:r>
              <w:rPr>
                <w:rFonts w:ascii="Verdana" w:hAnsi="Verdana"/>
              </w:rPr>
              <w:t xml:space="preserve">A </w:t>
            </w:r>
            <w:r w:rsidR="004D37CF">
              <w:rPr>
                <w:rFonts w:ascii="Verdana" w:hAnsi="Verdana"/>
              </w:rPr>
              <w:t xml:space="preserve">schedule of risks, their rationales and </w:t>
            </w:r>
            <w:r w:rsidR="00010E43">
              <w:rPr>
                <w:rFonts w:ascii="Verdana" w:hAnsi="Verdana"/>
              </w:rPr>
              <w:t xml:space="preserve">the </w:t>
            </w:r>
            <w:r w:rsidR="004D37CF">
              <w:rPr>
                <w:rFonts w:ascii="Verdana" w:hAnsi="Verdana"/>
              </w:rPr>
              <w:t>control measures implemented in their regard,</w:t>
            </w:r>
            <w:r>
              <w:rPr>
                <w:rFonts w:ascii="Verdana" w:hAnsi="Verdana"/>
              </w:rPr>
              <w:t xml:space="preserve"> prepared by the Vice-Principal (</w:t>
            </w:r>
            <w:r w:rsidRPr="00FE7EDC">
              <w:rPr>
                <w:rFonts w:ascii="Verdana" w:hAnsi="Verdana"/>
              </w:rPr>
              <w:t>Student S</w:t>
            </w:r>
            <w:r>
              <w:rPr>
                <w:rFonts w:ascii="Verdana" w:hAnsi="Verdana"/>
              </w:rPr>
              <w:t>ervices and Recruitment)</w:t>
            </w:r>
            <w:r w:rsidR="004D37CF">
              <w:rPr>
                <w:rFonts w:ascii="Verdana" w:hAnsi="Verdana"/>
              </w:rPr>
              <w:t>, who had also circulated a video Loom to members in advance of the meeting,</w:t>
            </w:r>
            <w:r>
              <w:rPr>
                <w:rFonts w:ascii="Verdana" w:hAnsi="Verdana"/>
              </w:rPr>
              <w:t xml:space="preserve"> was received and considered.</w:t>
            </w:r>
          </w:p>
          <w:p w14:paraId="7A959028" w14:textId="77777777" w:rsidR="00896A58" w:rsidRDefault="00896A58" w:rsidP="000542FE">
            <w:pPr>
              <w:rPr>
                <w:rFonts w:ascii="Verdana" w:hAnsi="Verdana"/>
              </w:rPr>
            </w:pPr>
          </w:p>
          <w:p w14:paraId="4A16F452" w14:textId="46A6CADB" w:rsidR="00896A58" w:rsidRPr="00EF4D29" w:rsidRDefault="00467367" w:rsidP="000542FE">
            <w:pPr>
              <w:rPr>
                <w:rFonts w:ascii="Verdana" w:hAnsi="Verdana"/>
              </w:rPr>
            </w:pPr>
            <w:r>
              <w:rPr>
                <w:rFonts w:ascii="Verdana" w:hAnsi="Verdana"/>
              </w:rPr>
              <w:t>Members asked how the College compares to other</w:t>
            </w:r>
            <w:r w:rsidR="003C41F3">
              <w:rPr>
                <w:rFonts w:ascii="Verdana" w:hAnsi="Verdana"/>
              </w:rPr>
              <w:t xml:space="preserve"> providers in relation to safeguarding under the present emergency.  In response the Principal stated that he did not believe that any other provider had done more, drawing particular attention to the weekly telephone call</w:t>
            </w:r>
            <w:r w:rsidR="0014062C">
              <w:rPr>
                <w:rFonts w:ascii="Verdana" w:hAnsi="Verdana"/>
              </w:rPr>
              <w:t>s made</w:t>
            </w:r>
            <w:r w:rsidR="003C41F3">
              <w:rPr>
                <w:rFonts w:ascii="Verdana" w:hAnsi="Verdana"/>
              </w:rPr>
              <w:t xml:space="preserve"> to students by a College contact.  Very few students had attended the College, and none after the first few days of “lockdown”.  Those deemed vulnerable ha</w:t>
            </w:r>
            <w:r w:rsidR="0014062C">
              <w:rPr>
                <w:rFonts w:ascii="Verdana" w:hAnsi="Verdana"/>
              </w:rPr>
              <w:t>d</w:t>
            </w:r>
            <w:r w:rsidR="003C41F3">
              <w:rPr>
                <w:rFonts w:ascii="Verdana" w:hAnsi="Verdana"/>
              </w:rPr>
              <w:t xml:space="preserve"> been given the explicit opportunity to come into College, but none ha</w:t>
            </w:r>
            <w:r w:rsidR="0014062C">
              <w:rPr>
                <w:rFonts w:ascii="Verdana" w:hAnsi="Verdana"/>
              </w:rPr>
              <w:t>d</w:t>
            </w:r>
            <w:r w:rsidR="003C41F3">
              <w:rPr>
                <w:rFonts w:ascii="Verdana" w:hAnsi="Verdana"/>
              </w:rPr>
              <w:t xml:space="preserve"> done so, citing concerns over the safety of public transport or health issues affecting themselves o</w:t>
            </w:r>
            <w:r w:rsidR="0014062C">
              <w:rPr>
                <w:rFonts w:ascii="Verdana" w:hAnsi="Verdana"/>
              </w:rPr>
              <w:t>r</w:t>
            </w:r>
            <w:r w:rsidR="003C41F3">
              <w:rPr>
                <w:rFonts w:ascii="Verdana" w:hAnsi="Verdana"/>
              </w:rPr>
              <w:t xml:space="preserve"> their families.  Where social workers ha</w:t>
            </w:r>
            <w:r w:rsidR="000F016E">
              <w:rPr>
                <w:rFonts w:ascii="Verdana" w:hAnsi="Verdana"/>
              </w:rPr>
              <w:t>d</w:t>
            </w:r>
            <w:r w:rsidR="003C41F3">
              <w:rPr>
                <w:rFonts w:ascii="Verdana" w:hAnsi="Verdana"/>
              </w:rPr>
              <w:t xml:space="preserve"> been involved, they ha</w:t>
            </w:r>
            <w:r w:rsidR="000F016E">
              <w:rPr>
                <w:rFonts w:ascii="Verdana" w:hAnsi="Verdana"/>
              </w:rPr>
              <w:t>d</w:t>
            </w:r>
            <w:r w:rsidR="003C41F3">
              <w:rPr>
                <w:rFonts w:ascii="Verdana" w:hAnsi="Verdana"/>
              </w:rPr>
              <w:t xml:space="preserve"> been supportive of the College’s </w:t>
            </w:r>
            <w:r w:rsidR="003C41F3" w:rsidRPr="00EF4D29">
              <w:rPr>
                <w:rFonts w:ascii="Verdana" w:hAnsi="Verdana"/>
              </w:rPr>
              <w:t>actions.</w:t>
            </w:r>
            <w:r w:rsidR="00EF4D29" w:rsidRPr="00EF4D29">
              <w:rPr>
                <w:rFonts w:ascii="Verdana" w:hAnsi="Verdana"/>
              </w:rPr>
              <w:t xml:space="preserve">  I</w:t>
            </w:r>
            <w:r w:rsidR="00EF4D29" w:rsidRPr="00EF4D29">
              <w:rPr>
                <w:rFonts w:ascii="Verdana" w:hAnsi="Verdana"/>
                <w:color w:val="000000"/>
              </w:rPr>
              <w:t xml:space="preserve">n addition, laptops and data loans had been prioritised for vulnerable students to ensure they could participate in online lessons - and these students </w:t>
            </w:r>
            <w:r w:rsidR="00EF4D29">
              <w:rPr>
                <w:rFonts w:ascii="Verdana" w:hAnsi="Verdana"/>
                <w:color w:val="000000"/>
              </w:rPr>
              <w:t xml:space="preserve">had </w:t>
            </w:r>
            <w:r w:rsidR="00EF4D29" w:rsidRPr="00EF4D29">
              <w:rPr>
                <w:rFonts w:ascii="Verdana" w:hAnsi="Verdana"/>
                <w:color w:val="000000"/>
              </w:rPr>
              <w:t>received more regular engagement through the calling service</w:t>
            </w:r>
            <w:r w:rsidR="00EF4D29">
              <w:rPr>
                <w:rFonts w:ascii="Verdana" w:hAnsi="Verdana"/>
                <w:color w:val="000000"/>
              </w:rPr>
              <w:t>.</w:t>
            </w:r>
          </w:p>
          <w:p w14:paraId="566636E5" w14:textId="77777777" w:rsidR="003C41F3" w:rsidRDefault="003C41F3" w:rsidP="000542FE">
            <w:pPr>
              <w:rPr>
                <w:rFonts w:ascii="Verdana" w:hAnsi="Verdana"/>
              </w:rPr>
            </w:pPr>
          </w:p>
          <w:p w14:paraId="48771E21" w14:textId="17D6C9DB" w:rsidR="003C41F3" w:rsidRDefault="003C41F3" w:rsidP="000542FE">
            <w:pPr>
              <w:rPr>
                <w:rFonts w:ascii="Verdana" w:hAnsi="Verdana"/>
              </w:rPr>
            </w:pPr>
            <w:r>
              <w:rPr>
                <w:rFonts w:ascii="Verdana" w:hAnsi="Verdana"/>
              </w:rPr>
              <w:t xml:space="preserve">In response to a specific question concerning the possibility of a confirmed coronavirus case on site in September, it was stated that an appropriate contingency plan </w:t>
            </w:r>
            <w:r w:rsidR="005E1962">
              <w:rPr>
                <w:rFonts w:ascii="Verdana" w:hAnsi="Verdana"/>
              </w:rPr>
              <w:t>ha</w:t>
            </w:r>
            <w:r w:rsidR="000F016E">
              <w:rPr>
                <w:rFonts w:ascii="Verdana" w:hAnsi="Verdana"/>
              </w:rPr>
              <w:t>d</w:t>
            </w:r>
            <w:r w:rsidR="005E1962">
              <w:rPr>
                <w:rFonts w:ascii="Verdana" w:hAnsi="Verdana"/>
              </w:rPr>
              <w:t xml:space="preserve"> been</w:t>
            </w:r>
            <w:r>
              <w:rPr>
                <w:rFonts w:ascii="Verdana" w:hAnsi="Verdana"/>
              </w:rPr>
              <w:t xml:space="preserve"> prepared for </w:t>
            </w:r>
            <w:r w:rsidR="00B812ED">
              <w:rPr>
                <w:rFonts w:ascii="Verdana" w:hAnsi="Verdana"/>
              </w:rPr>
              <w:t>such an</w:t>
            </w:r>
            <w:r>
              <w:rPr>
                <w:rFonts w:ascii="Verdana" w:hAnsi="Verdana"/>
              </w:rPr>
              <w:t xml:space="preserve"> eventuality.</w:t>
            </w:r>
          </w:p>
          <w:p w14:paraId="4FFB8676" w14:textId="77777777" w:rsidR="00A52081" w:rsidRDefault="00A52081" w:rsidP="000542FE">
            <w:pPr>
              <w:rPr>
                <w:rFonts w:ascii="Verdana" w:hAnsi="Verdana"/>
              </w:rPr>
            </w:pPr>
          </w:p>
          <w:p w14:paraId="11C0F282" w14:textId="77777777" w:rsidR="00A52081" w:rsidRDefault="00A52081" w:rsidP="000542FE">
            <w:pPr>
              <w:rPr>
                <w:rFonts w:ascii="Verdana" w:hAnsi="Verdana"/>
              </w:rPr>
            </w:pPr>
            <w:r>
              <w:rPr>
                <w:rFonts w:ascii="Verdana" w:hAnsi="Verdana"/>
              </w:rPr>
              <w:t>Necessary changes to the College’s Safeguarding Policy consequent on the pandemic will be circulated to Committee members for information, and submitted for approval by the Corporation at the meeting being held on 7 July 2020.</w:t>
            </w:r>
          </w:p>
          <w:p w14:paraId="2DDA42CE" w14:textId="77777777" w:rsidR="00A52081" w:rsidRDefault="00A52081" w:rsidP="000542FE">
            <w:pPr>
              <w:rPr>
                <w:rFonts w:ascii="Verdana" w:hAnsi="Verdana"/>
              </w:rPr>
            </w:pPr>
          </w:p>
          <w:p w14:paraId="15D6EFA6" w14:textId="317897B3" w:rsidR="00A52081" w:rsidRDefault="00A52081" w:rsidP="000542FE">
            <w:pPr>
              <w:rPr>
                <w:rFonts w:ascii="Verdana" w:hAnsi="Verdana"/>
              </w:rPr>
            </w:pPr>
            <w:r>
              <w:rPr>
                <w:rFonts w:ascii="Verdana" w:hAnsi="Verdana"/>
              </w:rPr>
              <w:t>In relation to the pl</w:t>
            </w:r>
            <w:r w:rsidRPr="005976F5">
              <w:rPr>
                <w:rFonts w:ascii="Verdana" w:hAnsi="Verdana"/>
              </w:rPr>
              <w:t xml:space="preserve">an, and </w:t>
            </w:r>
            <w:r>
              <w:rPr>
                <w:rFonts w:ascii="Verdana" w:hAnsi="Verdana"/>
              </w:rPr>
              <w:t>a</w:t>
            </w:r>
            <w:r w:rsidRPr="005976F5">
              <w:rPr>
                <w:rFonts w:ascii="Verdana" w:hAnsi="Verdana"/>
              </w:rPr>
              <w:t xml:space="preserve">ssociated </w:t>
            </w:r>
            <w:r>
              <w:rPr>
                <w:rFonts w:ascii="Verdana" w:hAnsi="Verdana"/>
              </w:rPr>
              <w:t>r</w:t>
            </w:r>
            <w:r w:rsidRPr="005976F5">
              <w:rPr>
                <w:rFonts w:ascii="Verdana" w:hAnsi="Verdana"/>
              </w:rPr>
              <w:t xml:space="preserve">isk </w:t>
            </w:r>
            <w:r>
              <w:rPr>
                <w:rFonts w:ascii="Verdana" w:hAnsi="Verdana"/>
              </w:rPr>
              <w:t>p</w:t>
            </w:r>
            <w:r w:rsidRPr="005976F5">
              <w:rPr>
                <w:rFonts w:ascii="Verdana" w:hAnsi="Verdana"/>
              </w:rPr>
              <w:t>lan</w:t>
            </w:r>
            <w:r w:rsidR="008B2F81">
              <w:rPr>
                <w:rFonts w:ascii="Verdana" w:hAnsi="Verdana"/>
              </w:rPr>
              <w:t xml:space="preserve"> (which have received approval under Chair’s Action for report to the Corporation meeting to be held on 7 July 2020)</w:t>
            </w:r>
            <w:r w:rsidRPr="005976F5">
              <w:rPr>
                <w:rFonts w:ascii="Verdana" w:hAnsi="Verdana"/>
              </w:rPr>
              <w:t xml:space="preserve">, for </w:t>
            </w:r>
            <w:r>
              <w:rPr>
                <w:rFonts w:ascii="Verdana" w:hAnsi="Verdana"/>
              </w:rPr>
              <w:t>i</w:t>
            </w:r>
            <w:r w:rsidRPr="005976F5">
              <w:rPr>
                <w:rFonts w:ascii="Verdana" w:hAnsi="Verdana"/>
              </w:rPr>
              <w:t xml:space="preserve">ncreased </w:t>
            </w:r>
            <w:r>
              <w:rPr>
                <w:rFonts w:ascii="Verdana" w:hAnsi="Verdana"/>
              </w:rPr>
              <w:t>n</w:t>
            </w:r>
            <w:r w:rsidRPr="005976F5">
              <w:rPr>
                <w:rFonts w:ascii="Verdana" w:hAnsi="Verdana"/>
              </w:rPr>
              <w:t xml:space="preserve">umbers of </w:t>
            </w:r>
            <w:r>
              <w:rPr>
                <w:rFonts w:ascii="Verdana" w:hAnsi="Verdana"/>
              </w:rPr>
              <w:t>l</w:t>
            </w:r>
            <w:r w:rsidRPr="005976F5">
              <w:rPr>
                <w:rFonts w:ascii="Verdana" w:hAnsi="Verdana"/>
              </w:rPr>
              <w:t xml:space="preserve">earners </w:t>
            </w:r>
            <w:r>
              <w:rPr>
                <w:rFonts w:ascii="Verdana" w:hAnsi="Verdana"/>
              </w:rPr>
              <w:t>a</w:t>
            </w:r>
            <w:r w:rsidRPr="005976F5">
              <w:rPr>
                <w:rFonts w:ascii="Verdana" w:hAnsi="Verdana"/>
              </w:rPr>
              <w:t>ttending</w:t>
            </w:r>
            <w:r>
              <w:rPr>
                <w:rFonts w:ascii="Verdana" w:hAnsi="Verdana"/>
              </w:rPr>
              <w:t xml:space="preserve"> the College resulting from the inception of the Accelerated Learning Academy with effect from 1 September 2020, it was reported that</w:t>
            </w:r>
            <w:r w:rsidR="008B2F81">
              <w:rPr>
                <w:rFonts w:ascii="Verdana" w:hAnsi="Verdana"/>
              </w:rPr>
              <w:t xml:space="preserve"> learner numbers will be very small in the first year (though with funding guaranteed for 50 places), and staff transferred under TUPE arrangements will therefore have some availability to assume other roles within the College.</w:t>
            </w:r>
          </w:p>
          <w:p w14:paraId="319E2F68" w14:textId="77777777" w:rsidR="008B2F81" w:rsidRDefault="008B2F81" w:rsidP="000542FE">
            <w:pPr>
              <w:rPr>
                <w:rFonts w:ascii="Verdana" w:hAnsi="Verdana"/>
              </w:rPr>
            </w:pPr>
          </w:p>
          <w:p w14:paraId="56C8467E" w14:textId="1C32BED6" w:rsidR="008B2F81" w:rsidRPr="006D35B2" w:rsidRDefault="008B2F81" w:rsidP="000542FE">
            <w:pPr>
              <w:rPr>
                <w:rFonts w:ascii="Verdana" w:hAnsi="Verdana"/>
              </w:rPr>
            </w:pPr>
            <w:r>
              <w:rPr>
                <w:rFonts w:ascii="Verdana" w:hAnsi="Verdana"/>
              </w:rPr>
              <w:t xml:space="preserve">It was emphasised </w:t>
            </w:r>
            <w:r w:rsidR="00B812ED">
              <w:rPr>
                <w:rFonts w:ascii="Verdana" w:hAnsi="Verdana"/>
              </w:rPr>
              <w:t xml:space="preserve">by the Committee </w:t>
            </w:r>
            <w:r>
              <w:rPr>
                <w:rFonts w:ascii="Verdana" w:hAnsi="Verdana"/>
              </w:rPr>
              <w:t>that safeguarding training in relation to the Academy must be extended to all College staff, not just those directly engaged with its operation.</w:t>
            </w:r>
          </w:p>
        </w:tc>
      </w:tr>
    </w:tbl>
    <w:p w14:paraId="1E3BBCCD" w14:textId="77777777" w:rsidR="00010E43" w:rsidRPr="009D70B8" w:rsidRDefault="00010E43" w:rsidP="00626F4B">
      <w:pPr>
        <w:rPr>
          <w:color w:val="FF0000"/>
        </w:rPr>
      </w:pPr>
    </w:p>
    <w:tbl>
      <w:tblPr>
        <w:tblW w:w="9464" w:type="dxa"/>
        <w:tblCellMar>
          <w:left w:w="10" w:type="dxa"/>
          <w:right w:w="10" w:type="dxa"/>
        </w:tblCellMar>
        <w:tblLook w:val="0000" w:firstRow="0" w:lastRow="0" w:firstColumn="0" w:lastColumn="0" w:noHBand="0" w:noVBand="0"/>
      </w:tblPr>
      <w:tblGrid>
        <w:gridCol w:w="529"/>
        <w:gridCol w:w="8935"/>
      </w:tblGrid>
      <w:tr w:rsidR="006827D2" w:rsidRPr="00F85641" w14:paraId="1FE30467" w14:textId="77777777" w:rsidTr="00B812ED">
        <w:tc>
          <w:tcPr>
            <w:tcW w:w="529" w:type="dxa"/>
            <w:shd w:val="clear" w:color="auto" w:fill="auto"/>
            <w:tcMar>
              <w:top w:w="0" w:type="dxa"/>
              <w:left w:w="108" w:type="dxa"/>
              <w:bottom w:w="0" w:type="dxa"/>
              <w:right w:w="108" w:type="dxa"/>
            </w:tcMar>
          </w:tcPr>
          <w:p w14:paraId="157630D9" w14:textId="7A017038" w:rsidR="006827D2" w:rsidRPr="00F85641" w:rsidRDefault="006827D2" w:rsidP="006827D2">
            <w:pPr>
              <w:pStyle w:val="NoSpacing"/>
              <w:rPr>
                <w:b/>
              </w:rPr>
            </w:pPr>
            <w:r w:rsidRPr="00F85641">
              <w:rPr>
                <w:b/>
              </w:rPr>
              <w:t>1</w:t>
            </w:r>
            <w:r w:rsidR="00333F86">
              <w:rPr>
                <w:b/>
              </w:rPr>
              <w:t>0</w:t>
            </w:r>
          </w:p>
        </w:tc>
        <w:tc>
          <w:tcPr>
            <w:tcW w:w="8935" w:type="dxa"/>
            <w:shd w:val="clear" w:color="auto" w:fill="auto"/>
            <w:tcMar>
              <w:top w:w="0" w:type="dxa"/>
              <w:left w:w="108" w:type="dxa"/>
              <w:bottom w:w="0" w:type="dxa"/>
              <w:right w:w="108" w:type="dxa"/>
            </w:tcMar>
          </w:tcPr>
          <w:p w14:paraId="54F87A4D" w14:textId="77777777" w:rsidR="006827D2" w:rsidRDefault="006827D2" w:rsidP="006827D2">
            <w:pPr>
              <w:rPr>
                <w:rFonts w:ascii="Verdana" w:hAnsi="Verdana"/>
                <w:b/>
              </w:rPr>
            </w:pPr>
            <w:r>
              <w:rPr>
                <w:rFonts w:ascii="Verdana" w:hAnsi="Verdana"/>
                <w:b/>
              </w:rPr>
              <w:t>External Corporate Hospitality</w:t>
            </w:r>
          </w:p>
          <w:p w14:paraId="432E23DA" w14:textId="77777777" w:rsidR="006827D2" w:rsidRDefault="006827D2" w:rsidP="006827D2">
            <w:pPr>
              <w:rPr>
                <w:rFonts w:ascii="Verdana" w:hAnsi="Verdana"/>
                <w:b/>
              </w:rPr>
            </w:pPr>
          </w:p>
          <w:p w14:paraId="5B54245D" w14:textId="5B993B11" w:rsidR="006827D2" w:rsidRPr="006827D2" w:rsidRDefault="006827D2" w:rsidP="006827D2">
            <w:pPr>
              <w:rPr>
                <w:rFonts w:ascii="Verdana" w:hAnsi="Verdana"/>
                <w:bCs/>
              </w:rPr>
            </w:pPr>
            <w:r w:rsidRPr="006827D2">
              <w:rPr>
                <w:rFonts w:ascii="Verdana" w:hAnsi="Verdana"/>
                <w:bCs/>
              </w:rPr>
              <w:t xml:space="preserve">There </w:t>
            </w:r>
            <w:r w:rsidR="004D37CF">
              <w:rPr>
                <w:rFonts w:ascii="Verdana" w:hAnsi="Verdana"/>
                <w:bCs/>
              </w:rPr>
              <w:t>were no matters</w:t>
            </w:r>
            <w:r w:rsidRPr="006827D2">
              <w:rPr>
                <w:rFonts w:ascii="Verdana" w:hAnsi="Verdana"/>
                <w:bCs/>
              </w:rPr>
              <w:t xml:space="preserve"> to report.</w:t>
            </w:r>
          </w:p>
          <w:p w14:paraId="723CC1C8" w14:textId="4D096E60" w:rsidR="004D37CF" w:rsidRPr="00F85641" w:rsidRDefault="004D37CF" w:rsidP="006827D2">
            <w:pPr>
              <w:rPr>
                <w:rFonts w:ascii="Verdana" w:hAnsi="Verdana"/>
                <w:b/>
              </w:rPr>
            </w:pPr>
          </w:p>
        </w:tc>
      </w:tr>
      <w:tr w:rsidR="006827D2" w:rsidRPr="00F85641" w14:paraId="3DDEBB6F" w14:textId="77777777" w:rsidTr="00B812ED">
        <w:tc>
          <w:tcPr>
            <w:tcW w:w="529" w:type="dxa"/>
            <w:shd w:val="clear" w:color="auto" w:fill="auto"/>
            <w:tcMar>
              <w:top w:w="0" w:type="dxa"/>
              <w:left w:w="108" w:type="dxa"/>
              <w:bottom w:w="0" w:type="dxa"/>
              <w:right w:w="108" w:type="dxa"/>
            </w:tcMar>
          </w:tcPr>
          <w:p w14:paraId="788A131F" w14:textId="5DB80F2F" w:rsidR="006827D2" w:rsidRPr="00F85641" w:rsidRDefault="006827D2" w:rsidP="006827D2">
            <w:pPr>
              <w:pStyle w:val="NoSpacing"/>
              <w:rPr>
                <w:b/>
              </w:rPr>
            </w:pPr>
            <w:r w:rsidRPr="00F85641">
              <w:rPr>
                <w:b/>
              </w:rPr>
              <w:t>1</w:t>
            </w:r>
            <w:r w:rsidR="00BE4911">
              <w:rPr>
                <w:b/>
              </w:rPr>
              <w:t>1</w:t>
            </w:r>
          </w:p>
        </w:tc>
        <w:tc>
          <w:tcPr>
            <w:tcW w:w="8935" w:type="dxa"/>
            <w:shd w:val="clear" w:color="auto" w:fill="auto"/>
            <w:tcMar>
              <w:top w:w="0" w:type="dxa"/>
              <w:left w:w="108" w:type="dxa"/>
              <w:bottom w:w="0" w:type="dxa"/>
              <w:right w:w="108" w:type="dxa"/>
            </w:tcMar>
          </w:tcPr>
          <w:p w14:paraId="640C7250" w14:textId="77777777" w:rsidR="006827D2" w:rsidRPr="00F85641" w:rsidRDefault="006827D2" w:rsidP="006827D2">
            <w:pPr>
              <w:rPr>
                <w:rFonts w:ascii="Verdana" w:hAnsi="Verdana"/>
                <w:b/>
              </w:rPr>
            </w:pPr>
            <w:r w:rsidRPr="00F85641">
              <w:rPr>
                <w:rFonts w:ascii="Verdana" w:hAnsi="Verdana"/>
                <w:b/>
              </w:rPr>
              <w:t>Disclosure and Barring Service (DBS) Checking of Governors</w:t>
            </w:r>
          </w:p>
          <w:p w14:paraId="4C8A5030" w14:textId="77777777" w:rsidR="006827D2" w:rsidRPr="00F85641" w:rsidRDefault="006827D2" w:rsidP="006827D2">
            <w:pPr>
              <w:rPr>
                <w:rFonts w:ascii="Verdana" w:hAnsi="Verdana"/>
              </w:rPr>
            </w:pPr>
          </w:p>
          <w:p w14:paraId="71331534" w14:textId="13EE39DD" w:rsidR="006827D2" w:rsidRPr="00F85641" w:rsidRDefault="006827D2" w:rsidP="006827D2">
            <w:pPr>
              <w:rPr>
                <w:rFonts w:ascii="Verdana" w:hAnsi="Verdana"/>
              </w:rPr>
            </w:pPr>
            <w:r>
              <w:rPr>
                <w:rFonts w:ascii="Verdana" w:hAnsi="Verdana"/>
              </w:rPr>
              <w:t>T</w:t>
            </w:r>
            <w:r w:rsidRPr="00F85641">
              <w:rPr>
                <w:rFonts w:ascii="Verdana" w:hAnsi="Verdana"/>
              </w:rPr>
              <w:t>he Clerk to the Corporation</w:t>
            </w:r>
            <w:r w:rsidR="00BE4911">
              <w:rPr>
                <w:rFonts w:ascii="Verdana" w:hAnsi="Verdana"/>
              </w:rPr>
              <w:t xml:space="preserve"> </w:t>
            </w:r>
            <w:r>
              <w:rPr>
                <w:rFonts w:ascii="Verdana" w:hAnsi="Verdana"/>
              </w:rPr>
              <w:t>confirmed</w:t>
            </w:r>
            <w:r w:rsidRPr="00F85641">
              <w:rPr>
                <w:rFonts w:ascii="Verdana" w:hAnsi="Verdana"/>
              </w:rPr>
              <w:t xml:space="preserve"> that all governors </w:t>
            </w:r>
            <w:r>
              <w:rPr>
                <w:rFonts w:ascii="Verdana" w:hAnsi="Verdana"/>
              </w:rPr>
              <w:t>possess</w:t>
            </w:r>
            <w:r w:rsidRPr="00F85641">
              <w:rPr>
                <w:rFonts w:ascii="Verdana" w:hAnsi="Verdana"/>
              </w:rPr>
              <w:t xml:space="preserve"> current clearances.</w:t>
            </w:r>
          </w:p>
          <w:p w14:paraId="4AC9E18D" w14:textId="17AC5331" w:rsidR="008B2F81" w:rsidRPr="00F85641" w:rsidRDefault="008B2F81" w:rsidP="006827D2">
            <w:pPr>
              <w:rPr>
                <w:rFonts w:ascii="Verdana" w:hAnsi="Verdana"/>
                <w:b/>
              </w:rPr>
            </w:pPr>
          </w:p>
        </w:tc>
      </w:tr>
      <w:tr w:rsidR="006827D2" w:rsidRPr="00F85641" w14:paraId="2F15C8D6" w14:textId="77777777" w:rsidTr="00B812ED">
        <w:tc>
          <w:tcPr>
            <w:tcW w:w="529" w:type="dxa"/>
            <w:shd w:val="clear" w:color="auto" w:fill="auto"/>
            <w:tcMar>
              <w:top w:w="0" w:type="dxa"/>
              <w:left w:w="108" w:type="dxa"/>
              <w:bottom w:w="0" w:type="dxa"/>
              <w:right w:w="108" w:type="dxa"/>
            </w:tcMar>
          </w:tcPr>
          <w:p w14:paraId="24C969AB" w14:textId="020B519B" w:rsidR="006827D2" w:rsidRPr="00F85641" w:rsidRDefault="006827D2" w:rsidP="006827D2">
            <w:pPr>
              <w:pStyle w:val="NoSpacing"/>
              <w:rPr>
                <w:b/>
              </w:rPr>
            </w:pPr>
            <w:r w:rsidRPr="00F85641">
              <w:rPr>
                <w:b/>
              </w:rPr>
              <w:t>1</w:t>
            </w:r>
            <w:r w:rsidR="00BE4911">
              <w:rPr>
                <w:b/>
              </w:rPr>
              <w:t>2</w:t>
            </w:r>
          </w:p>
        </w:tc>
        <w:tc>
          <w:tcPr>
            <w:tcW w:w="8935" w:type="dxa"/>
            <w:shd w:val="clear" w:color="auto" w:fill="auto"/>
            <w:tcMar>
              <w:top w:w="0" w:type="dxa"/>
              <w:left w:w="108" w:type="dxa"/>
              <w:bottom w:w="0" w:type="dxa"/>
              <w:right w:w="108" w:type="dxa"/>
            </w:tcMar>
          </w:tcPr>
          <w:p w14:paraId="6AA36908" w14:textId="77777777" w:rsidR="00BE4911" w:rsidRDefault="00BE4911" w:rsidP="00BE4911">
            <w:pPr>
              <w:rPr>
                <w:rFonts w:ascii="Verdana" w:hAnsi="Verdana"/>
                <w:b/>
              </w:rPr>
            </w:pPr>
            <w:r>
              <w:rPr>
                <w:rFonts w:ascii="Verdana" w:hAnsi="Verdana"/>
                <w:b/>
              </w:rPr>
              <w:t>Proposed Dates and Times of Meetings 2019-20</w:t>
            </w:r>
          </w:p>
          <w:p w14:paraId="14ED6D0A" w14:textId="77777777" w:rsidR="006827D2" w:rsidRPr="00F85641" w:rsidRDefault="006827D2" w:rsidP="006827D2">
            <w:pPr>
              <w:rPr>
                <w:rFonts w:ascii="Verdana" w:hAnsi="Verdana"/>
                <w:b/>
              </w:rPr>
            </w:pPr>
          </w:p>
          <w:p w14:paraId="75FA3AF0" w14:textId="6D28D688" w:rsidR="006827D2" w:rsidRDefault="006827D2" w:rsidP="006827D2">
            <w:pPr>
              <w:rPr>
                <w:rFonts w:ascii="Verdana" w:hAnsi="Verdana"/>
                <w:bCs/>
              </w:rPr>
            </w:pPr>
            <w:r w:rsidRPr="000C7CE4">
              <w:rPr>
                <w:rFonts w:ascii="Verdana" w:hAnsi="Verdana"/>
                <w:bCs/>
              </w:rPr>
              <w:t xml:space="preserve">The following </w:t>
            </w:r>
            <w:r w:rsidR="006C1EE2">
              <w:rPr>
                <w:rFonts w:ascii="Verdana" w:hAnsi="Verdana"/>
                <w:bCs/>
              </w:rPr>
              <w:t xml:space="preserve">proposed </w:t>
            </w:r>
            <w:r w:rsidRPr="000C7CE4">
              <w:rPr>
                <w:rFonts w:ascii="Verdana" w:hAnsi="Verdana"/>
                <w:bCs/>
              </w:rPr>
              <w:t>date</w:t>
            </w:r>
            <w:r w:rsidR="00BE4911">
              <w:rPr>
                <w:rFonts w:ascii="Verdana" w:hAnsi="Verdana"/>
                <w:bCs/>
              </w:rPr>
              <w:t>s</w:t>
            </w:r>
            <w:r w:rsidRPr="000C7CE4">
              <w:rPr>
                <w:rFonts w:ascii="Verdana" w:hAnsi="Verdana"/>
                <w:bCs/>
              </w:rPr>
              <w:t xml:space="preserve"> and time</w:t>
            </w:r>
            <w:r w:rsidR="00BE4911">
              <w:rPr>
                <w:rFonts w:ascii="Verdana" w:hAnsi="Verdana"/>
                <w:bCs/>
              </w:rPr>
              <w:t>s</w:t>
            </w:r>
            <w:r w:rsidRPr="000C7CE4">
              <w:rPr>
                <w:rFonts w:ascii="Verdana" w:hAnsi="Verdana"/>
                <w:bCs/>
              </w:rPr>
              <w:t xml:space="preserve"> were </w:t>
            </w:r>
            <w:r w:rsidR="00BE4911">
              <w:rPr>
                <w:rFonts w:ascii="Verdana" w:hAnsi="Verdana"/>
                <w:bCs/>
              </w:rPr>
              <w:t>approv</w:t>
            </w:r>
            <w:r w:rsidRPr="000C7CE4">
              <w:rPr>
                <w:rFonts w:ascii="Verdana" w:hAnsi="Verdana"/>
                <w:bCs/>
              </w:rPr>
              <w:t>ed:</w:t>
            </w:r>
          </w:p>
          <w:p w14:paraId="65A7E0B5" w14:textId="74647D8E" w:rsidR="006827D2" w:rsidRDefault="006827D2" w:rsidP="006827D2">
            <w:pPr>
              <w:rPr>
                <w:rFonts w:ascii="Verdana" w:hAnsi="Verdana"/>
                <w:bCs/>
              </w:rPr>
            </w:pPr>
          </w:p>
          <w:p w14:paraId="326C8DC3" w14:textId="00492BE4" w:rsidR="00BE4911" w:rsidRDefault="00BE4911" w:rsidP="00BE4911">
            <w:pPr>
              <w:pStyle w:val="NoSpacing"/>
              <w:rPr>
                <w:b/>
                <w:bCs/>
                <w:i/>
                <w:iCs/>
              </w:rPr>
            </w:pPr>
            <w:r w:rsidRPr="003F5F59">
              <w:rPr>
                <w:b/>
                <w:bCs/>
                <w:i/>
                <w:iCs/>
              </w:rPr>
              <w:t xml:space="preserve">Monday </w:t>
            </w:r>
            <w:r w:rsidR="008B2F81">
              <w:rPr>
                <w:b/>
                <w:bCs/>
                <w:i/>
                <w:iCs/>
              </w:rPr>
              <w:t>19 October</w:t>
            </w:r>
            <w:r w:rsidRPr="003F5F59">
              <w:rPr>
                <w:b/>
                <w:bCs/>
                <w:i/>
                <w:iCs/>
              </w:rPr>
              <w:t xml:space="preserve"> 2020</w:t>
            </w:r>
            <w:r>
              <w:rPr>
                <w:b/>
                <w:bCs/>
                <w:i/>
                <w:iCs/>
              </w:rPr>
              <w:t xml:space="preserve"> (5</w:t>
            </w:r>
            <w:r w:rsidRPr="00AB5E2A">
              <w:rPr>
                <w:b/>
                <w:bCs/>
                <w:i/>
                <w:iCs/>
              </w:rPr>
              <w:t>.</w:t>
            </w:r>
            <w:r>
              <w:rPr>
                <w:b/>
                <w:bCs/>
                <w:i/>
                <w:iCs/>
              </w:rPr>
              <w:t>30pm)</w:t>
            </w:r>
          </w:p>
          <w:p w14:paraId="09874DB5" w14:textId="77777777" w:rsidR="00BE4911" w:rsidRDefault="00BE4911" w:rsidP="00BE4911">
            <w:pPr>
              <w:pStyle w:val="NoSpacing"/>
              <w:rPr>
                <w:b/>
                <w:bCs/>
                <w:i/>
                <w:iCs/>
              </w:rPr>
            </w:pPr>
            <w:r>
              <w:rPr>
                <w:b/>
                <w:bCs/>
                <w:i/>
                <w:iCs/>
              </w:rPr>
              <w:t>Monday 1 February 2021 (5.30pm)</w:t>
            </w:r>
          </w:p>
          <w:p w14:paraId="26BCC065" w14:textId="77777777" w:rsidR="00BE4911" w:rsidRPr="003F5F59" w:rsidRDefault="00BE4911" w:rsidP="00BE4911">
            <w:pPr>
              <w:pStyle w:val="NoSpacing"/>
              <w:rPr>
                <w:b/>
                <w:bCs/>
                <w:i/>
                <w:iCs/>
              </w:rPr>
            </w:pPr>
            <w:r>
              <w:rPr>
                <w:b/>
                <w:bCs/>
                <w:i/>
                <w:iCs/>
              </w:rPr>
              <w:t xml:space="preserve">Monday 7 June 2021 (5.30pm) </w:t>
            </w:r>
          </w:p>
          <w:p w14:paraId="1891DE9C" w14:textId="13566F58" w:rsidR="006827D2" w:rsidRPr="00F85641" w:rsidRDefault="006827D2" w:rsidP="006827D2">
            <w:pPr>
              <w:rPr>
                <w:rFonts w:ascii="Verdana" w:hAnsi="Verdana"/>
                <w:b/>
              </w:rPr>
            </w:pPr>
          </w:p>
        </w:tc>
      </w:tr>
      <w:tr w:rsidR="006827D2" w:rsidRPr="00F85641" w14:paraId="7192D5BC" w14:textId="77777777" w:rsidTr="00B812ED">
        <w:tc>
          <w:tcPr>
            <w:tcW w:w="529" w:type="dxa"/>
            <w:shd w:val="clear" w:color="auto" w:fill="auto"/>
            <w:tcMar>
              <w:top w:w="0" w:type="dxa"/>
              <w:left w:w="108" w:type="dxa"/>
              <w:bottom w:w="0" w:type="dxa"/>
              <w:right w:w="108" w:type="dxa"/>
            </w:tcMar>
          </w:tcPr>
          <w:p w14:paraId="71C67C20" w14:textId="2E3F05D5" w:rsidR="006827D2" w:rsidRPr="00F85641" w:rsidRDefault="006827D2" w:rsidP="006827D2">
            <w:pPr>
              <w:pStyle w:val="NoSpacing"/>
              <w:rPr>
                <w:b/>
              </w:rPr>
            </w:pPr>
            <w:r>
              <w:rPr>
                <w:b/>
              </w:rPr>
              <w:t>1</w:t>
            </w:r>
            <w:r w:rsidR="00BE4911">
              <w:rPr>
                <w:b/>
              </w:rPr>
              <w:t>3</w:t>
            </w:r>
          </w:p>
        </w:tc>
        <w:tc>
          <w:tcPr>
            <w:tcW w:w="8935" w:type="dxa"/>
            <w:shd w:val="clear" w:color="auto" w:fill="auto"/>
            <w:tcMar>
              <w:top w:w="0" w:type="dxa"/>
              <w:left w:w="108" w:type="dxa"/>
              <w:bottom w:w="0" w:type="dxa"/>
              <w:right w:w="108" w:type="dxa"/>
            </w:tcMar>
          </w:tcPr>
          <w:p w14:paraId="6694D547" w14:textId="77777777" w:rsidR="006827D2" w:rsidRPr="00F85641" w:rsidRDefault="006827D2" w:rsidP="006827D2">
            <w:pPr>
              <w:rPr>
                <w:rFonts w:ascii="Verdana" w:hAnsi="Verdana"/>
                <w:b/>
              </w:rPr>
            </w:pPr>
            <w:r w:rsidRPr="00F85641">
              <w:rPr>
                <w:rFonts w:ascii="Verdana" w:hAnsi="Verdana"/>
                <w:b/>
              </w:rPr>
              <w:t>Any Other Competent Business</w:t>
            </w:r>
          </w:p>
          <w:p w14:paraId="76C6F628" w14:textId="77777777" w:rsidR="006827D2" w:rsidRPr="00F85641" w:rsidRDefault="006827D2" w:rsidP="006827D2">
            <w:pPr>
              <w:rPr>
                <w:rFonts w:ascii="Verdana" w:hAnsi="Verdana"/>
                <w:b/>
              </w:rPr>
            </w:pPr>
          </w:p>
          <w:p w14:paraId="49DE55EA" w14:textId="77777777" w:rsidR="006827D2" w:rsidRPr="00F85641" w:rsidRDefault="006827D2" w:rsidP="006827D2">
            <w:pPr>
              <w:rPr>
                <w:rFonts w:ascii="Verdana" w:hAnsi="Verdana"/>
                <w:b/>
              </w:rPr>
            </w:pPr>
            <w:r w:rsidRPr="00F85641">
              <w:rPr>
                <w:rFonts w:ascii="Verdana" w:hAnsi="Verdana"/>
              </w:rPr>
              <w:t>None.</w:t>
            </w:r>
          </w:p>
        </w:tc>
      </w:tr>
    </w:tbl>
    <w:p w14:paraId="2719841C" w14:textId="6D95255B" w:rsidR="008B1661" w:rsidRDefault="008B1661" w:rsidP="00626F4B">
      <w:pPr>
        <w:rPr>
          <w:color w:val="FF0000"/>
        </w:rPr>
      </w:pPr>
    </w:p>
    <w:p w14:paraId="3B4F34BE" w14:textId="77777777" w:rsidR="00F85641" w:rsidRDefault="00F85641" w:rsidP="00626F4B">
      <w:pPr>
        <w:rPr>
          <w:color w:val="FF0000"/>
        </w:rPr>
      </w:pPr>
    </w:p>
    <w:p w14:paraId="717DBA05" w14:textId="13C3CC9F" w:rsidR="00880621" w:rsidRDefault="00880621" w:rsidP="00626F4B">
      <w:pPr>
        <w:rPr>
          <w:rFonts w:ascii="Verdana" w:hAnsi="Verdana"/>
        </w:rPr>
      </w:pPr>
    </w:p>
    <w:p w14:paraId="598DAC61" w14:textId="433B6728" w:rsidR="0052166D" w:rsidRDefault="005104D0" w:rsidP="00626F4B">
      <w:pPr>
        <w:rPr>
          <w:rFonts w:ascii="Verdana" w:hAnsi="Verdana"/>
          <w:b/>
          <w:bCs/>
        </w:rPr>
      </w:pPr>
      <w:r w:rsidRPr="005104D0">
        <w:rPr>
          <w:rFonts w:ascii="Verdana" w:hAnsi="Verdana"/>
          <w:b/>
          <w:bCs/>
        </w:rPr>
        <w:t>List of Actions Arising from the Minute</w:t>
      </w:r>
      <w:r>
        <w:rPr>
          <w:rFonts w:ascii="Verdana" w:hAnsi="Verdana"/>
          <w:b/>
          <w:bCs/>
        </w:rPr>
        <w:t>s</w:t>
      </w:r>
    </w:p>
    <w:p w14:paraId="58F151C1" w14:textId="3CDA4C5A" w:rsidR="005104D0" w:rsidRDefault="005104D0" w:rsidP="00626F4B">
      <w:pPr>
        <w:rPr>
          <w:rFonts w:ascii="Verdana" w:hAnsi="Verdana"/>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3119"/>
        <w:gridCol w:w="4768"/>
      </w:tblGrid>
      <w:tr w:rsidR="005104D0" w14:paraId="56FC81C0" w14:textId="77777777" w:rsidTr="00B812ED">
        <w:tc>
          <w:tcPr>
            <w:tcW w:w="1129" w:type="dxa"/>
          </w:tcPr>
          <w:p w14:paraId="23EDED89" w14:textId="77777777" w:rsidR="005104D0" w:rsidRDefault="005104D0" w:rsidP="00626F4B">
            <w:pPr>
              <w:rPr>
                <w:rFonts w:ascii="Verdana" w:hAnsi="Verdana"/>
                <w:i/>
                <w:iCs/>
              </w:rPr>
            </w:pPr>
            <w:r w:rsidRPr="005104D0">
              <w:rPr>
                <w:rFonts w:ascii="Verdana" w:hAnsi="Verdana"/>
                <w:i/>
                <w:iCs/>
              </w:rPr>
              <w:t>Minute No.</w:t>
            </w:r>
          </w:p>
          <w:p w14:paraId="74B77CA5" w14:textId="4CD86029" w:rsidR="00B92707" w:rsidRPr="005104D0" w:rsidRDefault="00B92707" w:rsidP="00626F4B">
            <w:pPr>
              <w:rPr>
                <w:rFonts w:ascii="Verdana" w:hAnsi="Verdana"/>
                <w:i/>
                <w:iCs/>
              </w:rPr>
            </w:pPr>
          </w:p>
        </w:tc>
        <w:tc>
          <w:tcPr>
            <w:tcW w:w="3119" w:type="dxa"/>
          </w:tcPr>
          <w:p w14:paraId="1E550BD1" w14:textId="77777777" w:rsidR="005104D0" w:rsidRPr="005104D0" w:rsidRDefault="005104D0" w:rsidP="00626F4B">
            <w:pPr>
              <w:rPr>
                <w:rFonts w:ascii="Verdana" w:hAnsi="Verdana"/>
                <w:i/>
                <w:iCs/>
              </w:rPr>
            </w:pPr>
            <w:r w:rsidRPr="005104D0">
              <w:rPr>
                <w:rFonts w:ascii="Verdana" w:hAnsi="Verdana"/>
                <w:i/>
                <w:iCs/>
              </w:rPr>
              <w:t>Person Responsible</w:t>
            </w:r>
          </w:p>
          <w:p w14:paraId="3E35ACD2" w14:textId="55D9C485" w:rsidR="005104D0" w:rsidRPr="005104D0" w:rsidRDefault="005104D0" w:rsidP="00626F4B">
            <w:pPr>
              <w:rPr>
                <w:rFonts w:ascii="Verdana" w:hAnsi="Verdana"/>
                <w:i/>
                <w:iCs/>
              </w:rPr>
            </w:pPr>
          </w:p>
        </w:tc>
        <w:tc>
          <w:tcPr>
            <w:tcW w:w="4768" w:type="dxa"/>
          </w:tcPr>
          <w:p w14:paraId="2C33B6E7" w14:textId="772EE629" w:rsidR="005104D0" w:rsidRPr="005104D0" w:rsidRDefault="005104D0" w:rsidP="00626F4B">
            <w:pPr>
              <w:rPr>
                <w:rFonts w:ascii="Verdana" w:hAnsi="Verdana"/>
                <w:i/>
                <w:iCs/>
              </w:rPr>
            </w:pPr>
            <w:r w:rsidRPr="005104D0">
              <w:rPr>
                <w:rFonts w:ascii="Verdana" w:hAnsi="Verdana"/>
                <w:i/>
                <w:iCs/>
              </w:rPr>
              <w:t>Action Required</w:t>
            </w:r>
          </w:p>
        </w:tc>
      </w:tr>
      <w:tr w:rsidR="005104D0" w14:paraId="244B0090" w14:textId="77777777" w:rsidTr="00B812ED">
        <w:tc>
          <w:tcPr>
            <w:tcW w:w="1129" w:type="dxa"/>
          </w:tcPr>
          <w:p w14:paraId="300A87AE" w14:textId="78067123" w:rsidR="005104D0" w:rsidRDefault="0014062C" w:rsidP="00626F4B">
            <w:pPr>
              <w:rPr>
                <w:rFonts w:ascii="Verdana" w:hAnsi="Verdana"/>
                <w:b/>
                <w:bCs/>
              </w:rPr>
            </w:pPr>
            <w:r>
              <w:rPr>
                <w:rFonts w:ascii="Verdana" w:hAnsi="Verdana"/>
                <w:b/>
                <w:bCs/>
              </w:rPr>
              <w:t>5</w:t>
            </w:r>
          </w:p>
        </w:tc>
        <w:tc>
          <w:tcPr>
            <w:tcW w:w="3119" w:type="dxa"/>
          </w:tcPr>
          <w:p w14:paraId="7DFB8CB1" w14:textId="19B2CBF9" w:rsidR="00B92707" w:rsidRDefault="0014062C" w:rsidP="00626F4B">
            <w:pPr>
              <w:rPr>
                <w:rFonts w:ascii="Verdana" w:hAnsi="Verdana"/>
              </w:rPr>
            </w:pPr>
            <w:r>
              <w:rPr>
                <w:rFonts w:ascii="Verdana" w:hAnsi="Verdana"/>
              </w:rPr>
              <w:t>Clerk to the Corporation (agenda)</w:t>
            </w:r>
          </w:p>
          <w:p w14:paraId="68686133" w14:textId="77777777" w:rsidR="0014062C" w:rsidRDefault="0014062C" w:rsidP="00626F4B">
            <w:pPr>
              <w:rPr>
                <w:rFonts w:ascii="Verdana" w:hAnsi="Verdana"/>
              </w:rPr>
            </w:pPr>
          </w:p>
          <w:p w14:paraId="1F03EB64" w14:textId="39DBF549" w:rsidR="0014062C" w:rsidRPr="00B92707" w:rsidRDefault="0014062C" w:rsidP="00626F4B">
            <w:pPr>
              <w:rPr>
                <w:rFonts w:ascii="Verdana" w:hAnsi="Verdana"/>
              </w:rPr>
            </w:pPr>
            <w:r>
              <w:rPr>
                <w:rFonts w:ascii="Verdana" w:hAnsi="Verdana"/>
              </w:rPr>
              <w:t>Principal (paper)</w:t>
            </w:r>
          </w:p>
        </w:tc>
        <w:tc>
          <w:tcPr>
            <w:tcW w:w="4768" w:type="dxa"/>
          </w:tcPr>
          <w:p w14:paraId="70245DD7" w14:textId="77777777" w:rsidR="00B92707" w:rsidRDefault="0014062C" w:rsidP="00626F4B">
            <w:pPr>
              <w:rPr>
                <w:rFonts w:ascii="Verdana" w:hAnsi="Verdana"/>
                <w:bCs/>
              </w:rPr>
            </w:pPr>
            <w:r>
              <w:rPr>
                <w:rFonts w:ascii="Verdana" w:hAnsi="Verdana"/>
              </w:rPr>
              <w:t xml:space="preserve">Provide for consideration by the Audit Committee of </w:t>
            </w:r>
            <w:r>
              <w:rPr>
                <w:rFonts w:ascii="Verdana" w:hAnsi="Verdana"/>
                <w:bCs/>
              </w:rPr>
              <w:t>Risk Assessment attending the student entry 2020-21, especially the size of the cohort and resultant financial impact on the 2021-22 financial year, as well as issues attending the safe operation of the College.</w:t>
            </w:r>
          </w:p>
          <w:p w14:paraId="746A123F" w14:textId="0D4A22C3" w:rsidR="0014062C" w:rsidRPr="00B92707" w:rsidRDefault="0014062C" w:rsidP="00626F4B">
            <w:pPr>
              <w:rPr>
                <w:rFonts w:ascii="Verdana" w:hAnsi="Verdana"/>
              </w:rPr>
            </w:pPr>
          </w:p>
        </w:tc>
      </w:tr>
      <w:tr w:rsidR="005A1072" w14:paraId="2ECCC748" w14:textId="77777777" w:rsidTr="00B812ED">
        <w:tc>
          <w:tcPr>
            <w:tcW w:w="1129" w:type="dxa"/>
          </w:tcPr>
          <w:p w14:paraId="21441621" w14:textId="0105CE41" w:rsidR="005A1072" w:rsidRDefault="005A1072" w:rsidP="00626F4B">
            <w:pPr>
              <w:rPr>
                <w:rFonts w:ascii="Verdana" w:hAnsi="Verdana"/>
                <w:b/>
                <w:bCs/>
              </w:rPr>
            </w:pPr>
            <w:r>
              <w:rPr>
                <w:rFonts w:ascii="Verdana" w:hAnsi="Verdana"/>
                <w:b/>
                <w:bCs/>
              </w:rPr>
              <w:t>7</w:t>
            </w:r>
          </w:p>
        </w:tc>
        <w:tc>
          <w:tcPr>
            <w:tcW w:w="3119" w:type="dxa"/>
          </w:tcPr>
          <w:p w14:paraId="4C11A6E9" w14:textId="4CEA416F" w:rsidR="005A1072" w:rsidRDefault="005A1072" w:rsidP="00626F4B">
            <w:pPr>
              <w:rPr>
                <w:rFonts w:ascii="Verdana" w:hAnsi="Verdana"/>
              </w:rPr>
            </w:pPr>
            <w:r>
              <w:rPr>
                <w:rFonts w:ascii="Verdana" w:hAnsi="Verdana"/>
              </w:rPr>
              <w:t xml:space="preserve">Vice-Principal: </w:t>
            </w:r>
            <w:r w:rsidRPr="00FE7EDC">
              <w:rPr>
                <w:rFonts w:ascii="Verdana" w:hAnsi="Verdana"/>
              </w:rPr>
              <w:t>Student S</w:t>
            </w:r>
            <w:r>
              <w:rPr>
                <w:rFonts w:ascii="Verdana" w:hAnsi="Verdana"/>
              </w:rPr>
              <w:t>ervices and Recruitment</w:t>
            </w:r>
          </w:p>
        </w:tc>
        <w:tc>
          <w:tcPr>
            <w:tcW w:w="4768" w:type="dxa"/>
          </w:tcPr>
          <w:p w14:paraId="604ACE4A" w14:textId="77777777" w:rsidR="005A1072" w:rsidRDefault="005A1072" w:rsidP="00626F4B">
            <w:pPr>
              <w:rPr>
                <w:rFonts w:ascii="Verdana" w:hAnsi="Verdana"/>
                <w:color w:val="000000"/>
              </w:rPr>
            </w:pPr>
            <w:r>
              <w:rPr>
                <w:rFonts w:ascii="Verdana" w:hAnsi="Verdana"/>
                <w:color w:val="000000"/>
              </w:rPr>
              <w:t>P</w:t>
            </w:r>
            <w:r w:rsidRPr="00582FA9">
              <w:rPr>
                <w:rFonts w:ascii="Verdana" w:hAnsi="Verdana"/>
                <w:color w:val="000000"/>
              </w:rPr>
              <w:t>rovide a more detailed annual report to governors</w:t>
            </w:r>
            <w:r>
              <w:rPr>
                <w:rFonts w:ascii="Verdana" w:hAnsi="Verdana"/>
                <w:color w:val="000000"/>
              </w:rPr>
              <w:t xml:space="preserve"> on work experience</w:t>
            </w:r>
            <w:r w:rsidRPr="00582FA9">
              <w:rPr>
                <w:rFonts w:ascii="Verdana" w:hAnsi="Verdana"/>
                <w:color w:val="000000"/>
              </w:rPr>
              <w:t xml:space="preserve"> towards the end of the academic year</w:t>
            </w:r>
            <w:r>
              <w:rPr>
                <w:rFonts w:ascii="Verdana" w:hAnsi="Verdana"/>
                <w:color w:val="000000"/>
              </w:rPr>
              <w:t>.</w:t>
            </w:r>
          </w:p>
          <w:p w14:paraId="5C3D17F4" w14:textId="5B1218B5" w:rsidR="005A1072" w:rsidRDefault="005A1072" w:rsidP="00626F4B">
            <w:pPr>
              <w:rPr>
                <w:rFonts w:ascii="Verdana" w:hAnsi="Verdana"/>
              </w:rPr>
            </w:pPr>
          </w:p>
        </w:tc>
      </w:tr>
      <w:tr w:rsidR="006C1EE2" w14:paraId="43C44957" w14:textId="77777777" w:rsidTr="00B812ED">
        <w:tc>
          <w:tcPr>
            <w:tcW w:w="1129" w:type="dxa"/>
          </w:tcPr>
          <w:p w14:paraId="7478E44F" w14:textId="0653C03D" w:rsidR="006C1EE2" w:rsidRDefault="0014062C" w:rsidP="00626F4B">
            <w:pPr>
              <w:rPr>
                <w:rFonts w:ascii="Verdana" w:hAnsi="Verdana"/>
                <w:b/>
                <w:bCs/>
              </w:rPr>
            </w:pPr>
            <w:r>
              <w:rPr>
                <w:rFonts w:ascii="Verdana" w:hAnsi="Verdana"/>
                <w:b/>
                <w:bCs/>
              </w:rPr>
              <w:t>8</w:t>
            </w:r>
          </w:p>
        </w:tc>
        <w:tc>
          <w:tcPr>
            <w:tcW w:w="3119" w:type="dxa"/>
          </w:tcPr>
          <w:p w14:paraId="7538DE76" w14:textId="77777777" w:rsidR="006C1EE2" w:rsidRDefault="0014062C" w:rsidP="00626F4B">
            <w:pPr>
              <w:rPr>
                <w:rFonts w:ascii="Verdana" w:hAnsi="Verdana"/>
              </w:rPr>
            </w:pPr>
            <w:r>
              <w:rPr>
                <w:rFonts w:ascii="Verdana" w:hAnsi="Verdana"/>
              </w:rPr>
              <w:t>Clerk to the Corporation</w:t>
            </w:r>
          </w:p>
          <w:p w14:paraId="5CDBA26F" w14:textId="797E16AD" w:rsidR="000F016E" w:rsidRPr="00B92707" w:rsidRDefault="000F016E" w:rsidP="00626F4B">
            <w:pPr>
              <w:rPr>
                <w:rFonts w:ascii="Verdana" w:hAnsi="Verdana"/>
              </w:rPr>
            </w:pPr>
          </w:p>
        </w:tc>
        <w:tc>
          <w:tcPr>
            <w:tcW w:w="4768" w:type="dxa"/>
          </w:tcPr>
          <w:p w14:paraId="70F3605A" w14:textId="28A7AE2C" w:rsidR="006C1EE2" w:rsidRPr="00B92707" w:rsidRDefault="0014062C" w:rsidP="00626F4B">
            <w:pPr>
              <w:rPr>
                <w:rFonts w:ascii="Verdana" w:hAnsi="Verdana"/>
              </w:rPr>
            </w:pPr>
            <w:r>
              <w:rPr>
                <w:rFonts w:ascii="Verdana" w:hAnsi="Verdana"/>
              </w:rPr>
              <w:t>Student Survey report on next agenda.</w:t>
            </w:r>
          </w:p>
        </w:tc>
      </w:tr>
      <w:tr w:rsidR="006C1EE2" w14:paraId="39E4F9A7" w14:textId="77777777" w:rsidTr="00B812ED">
        <w:tc>
          <w:tcPr>
            <w:tcW w:w="1129" w:type="dxa"/>
          </w:tcPr>
          <w:p w14:paraId="5961BD91" w14:textId="75483E14" w:rsidR="006C1EE2" w:rsidRDefault="000F016E" w:rsidP="00626F4B">
            <w:pPr>
              <w:rPr>
                <w:rFonts w:ascii="Verdana" w:hAnsi="Verdana"/>
                <w:b/>
                <w:bCs/>
              </w:rPr>
            </w:pPr>
            <w:r>
              <w:rPr>
                <w:rFonts w:ascii="Verdana" w:hAnsi="Verdana"/>
                <w:b/>
                <w:bCs/>
              </w:rPr>
              <w:t>9</w:t>
            </w:r>
          </w:p>
        </w:tc>
        <w:tc>
          <w:tcPr>
            <w:tcW w:w="3119" w:type="dxa"/>
          </w:tcPr>
          <w:p w14:paraId="35DE9E72" w14:textId="77777777" w:rsidR="006C1EE2" w:rsidRDefault="000F016E" w:rsidP="00626F4B">
            <w:pPr>
              <w:rPr>
                <w:rFonts w:ascii="Verdana" w:hAnsi="Verdana"/>
              </w:rPr>
            </w:pPr>
            <w:r>
              <w:rPr>
                <w:rFonts w:ascii="Verdana" w:hAnsi="Verdana"/>
              </w:rPr>
              <w:t>Clerk to the Corporation (agenda)</w:t>
            </w:r>
          </w:p>
          <w:p w14:paraId="6F3F4C04" w14:textId="77777777" w:rsidR="000F016E" w:rsidRDefault="000F016E" w:rsidP="00626F4B">
            <w:pPr>
              <w:rPr>
                <w:rFonts w:ascii="Verdana" w:hAnsi="Verdana"/>
              </w:rPr>
            </w:pPr>
          </w:p>
          <w:p w14:paraId="0EF911F6" w14:textId="77777777" w:rsidR="000F016E" w:rsidRDefault="000F016E" w:rsidP="00626F4B">
            <w:pPr>
              <w:rPr>
                <w:rFonts w:ascii="Verdana" w:hAnsi="Verdana"/>
              </w:rPr>
            </w:pPr>
            <w:r>
              <w:rPr>
                <w:rFonts w:ascii="Verdana" w:hAnsi="Verdana"/>
              </w:rPr>
              <w:t xml:space="preserve">Vice-Principal: </w:t>
            </w:r>
            <w:r w:rsidRPr="00FE7EDC">
              <w:rPr>
                <w:rFonts w:ascii="Verdana" w:hAnsi="Verdana"/>
              </w:rPr>
              <w:t>Student S</w:t>
            </w:r>
            <w:r>
              <w:rPr>
                <w:rFonts w:ascii="Verdana" w:hAnsi="Verdana"/>
              </w:rPr>
              <w:t>ervices and Recruitment</w:t>
            </w:r>
          </w:p>
          <w:p w14:paraId="15B25618" w14:textId="048F75FB" w:rsidR="000F016E" w:rsidRPr="00B92707" w:rsidRDefault="000F016E" w:rsidP="00626F4B">
            <w:pPr>
              <w:rPr>
                <w:rFonts w:ascii="Verdana" w:hAnsi="Verdana"/>
              </w:rPr>
            </w:pPr>
            <w:r>
              <w:rPr>
                <w:rFonts w:ascii="Verdana" w:hAnsi="Verdana"/>
              </w:rPr>
              <w:t>(circulation and submission of paper)</w:t>
            </w:r>
          </w:p>
        </w:tc>
        <w:tc>
          <w:tcPr>
            <w:tcW w:w="4768" w:type="dxa"/>
          </w:tcPr>
          <w:p w14:paraId="759D9834" w14:textId="2AA16C78" w:rsidR="006C1EE2" w:rsidRPr="00B92707" w:rsidRDefault="000F016E" w:rsidP="00626F4B">
            <w:pPr>
              <w:rPr>
                <w:rFonts w:ascii="Verdana" w:hAnsi="Verdana"/>
              </w:rPr>
            </w:pPr>
            <w:r>
              <w:rPr>
                <w:rFonts w:ascii="Verdana" w:hAnsi="Verdana"/>
              </w:rPr>
              <w:t>Circulate necessary changes to the College’s Safeguarding Policy consequent on the pandemic will be to Committee members for information, and submit them for approval by the Corporation at the meeting being held on 7 July 2020.</w:t>
            </w:r>
          </w:p>
        </w:tc>
      </w:tr>
    </w:tbl>
    <w:p w14:paraId="1DB00079" w14:textId="77777777" w:rsidR="005104D0" w:rsidRPr="005104D0" w:rsidRDefault="005104D0" w:rsidP="00626F4B">
      <w:pPr>
        <w:rPr>
          <w:rFonts w:ascii="Verdana" w:hAnsi="Verdana"/>
          <w:b/>
          <w:bCs/>
        </w:rPr>
      </w:pPr>
    </w:p>
    <w:p w14:paraId="409F376E" w14:textId="371E4C88" w:rsidR="0052166D" w:rsidRPr="005104D0" w:rsidRDefault="0052166D" w:rsidP="00626F4B">
      <w:pPr>
        <w:rPr>
          <w:rFonts w:ascii="Verdana" w:hAnsi="Verdana"/>
          <w:b/>
          <w:bCs/>
        </w:rPr>
      </w:pPr>
    </w:p>
    <w:p w14:paraId="01546920" w14:textId="1E51B377" w:rsidR="0052166D" w:rsidRPr="005104D0" w:rsidRDefault="0052166D" w:rsidP="00626F4B">
      <w:pPr>
        <w:rPr>
          <w:rFonts w:ascii="Verdana" w:hAnsi="Verdana"/>
          <w:b/>
          <w:bCs/>
        </w:rPr>
      </w:pPr>
    </w:p>
    <w:p w14:paraId="553D35C9" w14:textId="284542DA" w:rsidR="0052166D" w:rsidRPr="005104D0" w:rsidRDefault="0052166D" w:rsidP="00626F4B">
      <w:pPr>
        <w:rPr>
          <w:rFonts w:ascii="Verdana" w:hAnsi="Verdana"/>
          <w:b/>
          <w:bCs/>
        </w:rPr>
      </w:pPr>
    </w:p>
    <w:p w14:paraId="04226F14" w14:textId="380C097D" w:rsidR="0052166D" w:rsidRPr="005104D0" w:rsidRDefault="0052166D" w:rsidP="00626F4B">
      <w:pPr>
        <w:rPr>
          <w:rFonts w:ascii="Verdana" w:hAnsi="Verdana"/>
          <w:b/>
          <w:bCs/>
        </w:rPr>
      </w:pPr>
    </w:p>
    <w:p w14:paraId="40D4D53B" w14:textId="40050396" w:rsidR="0052166D" w:rsidRPr="005104D0" w:rsidRDefault="0052166D" w:rsidP="00626F4B">
      <w:pPr>
        <w:rPr>
          <w:rFonts w:ascii="Verdana" w:hAnsi="Verdana"/>
          <w:b/>
          <w:bCs/>
        </w:rPr>
      </w:pPr>
    </w:p>
    <w:p w14:paraId="1B677274" w14:textId="6A9E8143" w:rsidR="0052166D" w:rsidRPr="005104D0" w:rsidRDefault="0052166D" w:rsidP="00626F4B">
      <w:pPr>
        <w:rPr>
          <w:rFonts w:ascii="Verdana" w:hAnsi="Verdana"/>
          <w:b/>
          <w:bCs/>
        </w:rPr>
      </w:pPr>
    </w:p>
    <w:p w14:paraId="5DD1DF39" w14:textId="576D7F86" w:rsidR="0052166D" w:rsidRPr="005104D0" w:rsidRDefault="0052166D" w:rsidP="00626F4B">
      <w:pPr>
        <w:rPr>
          <w:rFonts w:ascii="Verdana" w:hAnsi="Verdana"/>
          <w:b/>
          <w:bCs/>
        </w:rPr>
      </w:pPr>
    </w:p>
    <w:p w14:paraId="1EC20E26" w14:textId="15A592D0" w:rsidR="0052166D" w:rsidRPr="005104D0" w:rsidRDefault="0052166D" w:rsidP="00626F4B">
      <w:pPr>
        <w:rPr>
          <w:rFonts w:ascii="Verdana" w:hAnsi="Verdana"/>
          <w:b/>
          <w:bCs/>
        </w:rPr>
      </w:pPr>
    </w:p>
    <w:p w14:paraId="0BFDE239" w14:textId="25DC6213" w:rsidR="0052166D" w:rsidRDefault="0052166D" w:rsidP="00626F4B">
      <w:pPr>
        <w:rPr>
          <w:rFonts w:ascii="Verdana" w:hAnsi="Verdana"/>
        </w:rPr>
      </w:pPr>
    </w:p>
    <w:p w14:paraId="12AB43AE" w14:textId="4F501658" w:rsidR="0052166D" w:rsidRDefault="0052166D" w:rsidP="00626F4B">
      <w:pPr>
        <w:rPr>
          <w:rFonts w:ascii="Verdana" w:hAnsi="Verdana"/>
        </w:rPr>
      </w:pPr>
    </w:p>
    <w:p w14:paraId="4E760748" w14:textId="210242C7" w:rsidR="0052166D" w:rsidRDefault="0052166D" w:rsidP="00626F4B">
      <w:pPr>
        <w:rPr>
          <w:rFonts w:ascii="Verdana" w:hAnsi="Verdana"/>
        </w:rPr>
      </w:pPr>
    </w:p>
    <w:p w14:paraId="6EC89C2A" w14:textId="211BE93A" w:rsidR="0052166D" w:rsidRDefault="0052166D" w:rsidP="00626F4B">
      <w:pPr>
        <w:rPr>
          <w:rFonts w:ascii="Verdana" w:hAnsi="Verdana"/>
        </w:rPr>
      </w:pPr>
    </w:p>
    <w:p w14:paraId="46CF1430" w14:textId="11463F2C" w:rsidR="0052166D" w:rsidRDefault="0052166D" w:rsidP="00626F4B">
      <w:pPr>
        <w:rPr>
          <w:rFonts w:ascii="Verdana" w:hAnsi="Verdana"/>
        </w:rPr>
      </w:pPr>
    </w:p>
    <w:p w14:paraId="4EF22445" w14:textId="3A664821" w:rsidR="0052166D" w:rsidRDefault="0052166D" w:rsidP="00626F4B">
      <w:pPr>
        <w:rPr>
          <w:rFonts w:ascii="Verdana" w:hAnsi="Verdana"/>
        </w:rPr>
      </w:pPr>
    </w:p>
    <w:p w14:paraId="00E9E465" w14:textId="27EBB855" w:rsidR="0052166D" w:rsidRDefault="0052166D" w:rsidP="00626F4B">
      <w:pPr>
        <w:rPr>
          <w:rFonts w:ascii="Verdana" w:hAnsi="Verdana"/>
        </w:rPr>
      </w:pPr>
    </w:p>
    <w:p w14:paraId="190B4CDB" w14:textId="61902078" w:rsidR="0052166D" w:rsidRDefault="0052166D" w:rsidP="00626F4B">
      <w:pPr>
        <w:rPr>
          <w:rFonts w:ascii="Verdana" w:hAnsi="Verdana"/>
        </w:rPr>
      </w:pPr>
    </w:p>
    <w:p w14:paraId="713A98E9" w14:textId="700907CC" w:rsidR="0052166D" w:rsidRDefault="0052166D" w:rsidP="00626F4B">
      <w:pPr>
        <w:rPr>
          <w:rFonts w:ascii="Verdana" w:hAnsi="Verdana"/>
        </w:rPr>
      </w:pPr>
    </w:p>
    <w:p w14:paraId="257CFF58" w14:textId="475C8B8A" w:rsidR="0052166D" w:rsidRDefault="0052166D" w:rsidP="00626F4B">
      <w:pPr>
        <w:rPr>
          <w:rFonts w:ascii="Verdana" w:hAnsi="Verdana"/>
        </w:rPr>
      </w:pPr>
    </w:p>
    <w:p w14:paraId="0C40399E" w14:textId="77777777" w:rsidR="0052166D" w:rsidRPr="00413682" w:rsidRDefault="0052166D" w:rsidP="00626F4B">
      <w:pPr>
        <w:rPr>
          <w:rFonts w:ascii="Verdana" w:hAnsi="Verdana"/>
        </w:rPr>
      </w:pPr>
    </w:p>
    <w:p w14:paraId="26DF08E3" w14:textId="77777777" w:rsidR="00785164" w:rsidRPr="005D6214" w:rsidRDefault="00785164" w:rsidP="00626F4B">
      <w:pPr>
        <w:rPr>
          <w:color w:val="FF0000"/>
        </w:rPr>
      </w:pPr>
    </w:p>
    <w:sectPr w:rsidR="00785164" w:rsidRPr="005D62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C38F6A" w14:textId="77777777" w:rsidR="00467367" w:rsidRDefault="00467367" w:rsidP="007F3C4E">
      <w:r>
        <w:separator/>
      </w:r>
    </w:p>
  </w:endnote>
  <w:endnote w:type="continuationSeparator" w:id="0">
    <w:p w14:paraId="240A239D" w14:textId="77777777" w:rsidR="00467367" w:rsidRDefault="00467367" w:rsidP="007F3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7184BD" w14:textId="77777777" w:rsidR="00467367" w:rsidRDefault="00467367" w:rsidP="007F3C4E">
      <w:r>
        <w:separator/>
      </w:r>
    </w:p>
  </w:footnote>
  <w:footnote w:type="continuationSeparator" w:id="0">
    <w:p w14:paraId="077E8ECB" w14:textId="77777777" w:rsidR="00467367" w:rsidRDefault="00467367" w:rsidP="007F3C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15557"/>
    <w:multiLevelType w:val="hybridMultilevel"/>
    <w:tmpl w:val="4262F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DF7B6A"/>
    <w:multiLevelType w:val="hybridMultilevel"/>
    <w:tmpl w:val="73FCF0CA"/>
    <w:lvl w:ilvl="0" w:tplc="08090001">
      <w:start w:val="1"/>
      <w:numFmt w:val="bullet"/>
      <w:lvlText w:val=""/>
      <w:lvlJc w:val="left"/>
      <w:pPr>
        <w:ind w:left="720" w:hanging="360"/>
      </w:pPr>
      <w:rPr>
        <w:rFonts w:ascii="Symbol" w:hAnsi="Symbol" w:hint="default"/>
      </w:rPr>
    </w:lvl>
    <w:lvl w:ilvl="1" w:tplc="37B0ADDC">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B415C60"/>
    <w:multiLevelType w:val="hybridMultilevel"/>
    <w:tmpl w:val="847AAB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26E281A"/>
    <w:multiLevelType w:val="hybridMultilevel"/>
    <w:tmpl w:val="6CD82B96"/>
    <w:lvl w:ilvl="0" w:tplc="08090001">
      <w:start w:val="1"/>
      <w:numFmt w:val="bullet"/>
      <w:lvlText w:val=""/>
      <w:lvlJc w:val="left"/>
      <w:pPr>
        <w:ind w:left="786"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3FF"/>
    <w:rsid w:val="000008B9"/>
    <w:rsid w:val="00001B8B"/>
    <w:rsid w:val="00001B9A"/>
    <w:rsid w:val="00006F58"/>
    <w:rsid w:val="0001074C"/>
    <w:rsid w:val="00010E43"/>
    <w:rsid w:val="00011177"/>
    <w:rsid w:val="00016C1E"/>
    <w:rsid w:val="0002082B"/>
    <w:rsid w:val="0002249F"/>
    <w:rsid w:val="00022708"/>
    <w:rsid w:val="000235A3"/>
    <w:rsid w:val="00023860"/>
    <w:rsid w:val="00023C8C"/>
    <w:rsid w:val="00025A1D"/>
    <w:rsid w:val="00027A98"/>
    <w:rsid w:val="00030FF0"/>
    <w:rsid w:val="000355CE"/>
    <w:rsid w:val="0003568A"/>
    <w:rsid w:val="0003666E"/>
    <w:rsid w:val="000409ED"/>
    <w:rsid w:val="00040F6C"/>
    <w:rsid w:val="00041278"/>
    <w:rsid w:val="000413AE"/>
    <w:rsid w:val="00041F13"/>
    <w:rsid w:val="0004236C"/>
    <w:rsid w:val="000439B1"/>
    <w:rsid w:val="00043C3D"/>
    <w:rsid w:val="000464F3"/>
    <w:rsid w:val="00050DA1"/>
    <w:rsid w:val="00051D3B"/>
    <w:rsid w:val="000538A7"/>
    <w:rsid w:val="000542FE"/>
    <w:rsid w:val="000549C5"/>
    <w:rsid w:val="00055918"/>
    <w:rsid w:val="000572AC"/>
    <w:rsid w:val="00060481"/>
    <w:rsid w:val="00061307"/>
    <w:rsid w:val="00062B2D"/>
    <w:rsid w:val="000658A4"/>
    <w:rsid w:val="000663D6"/>
    <w:rsid w:val="00067423"/>
    <w:rsid w:val="0007175E"/>
    <w:rsid w:val="00072368"/>
    <w:rsid w:val="000728F8"/>
    <w:rsid w:val="00074392"/>
    <w:rsid w:val="00074670"/>
    <w:rsid w:val="000762CB"/>
    <w:rsid w:val="000771DA"/>
    <w:rsid w:val="000776BC"/>
    <w:rsid w:val="00080556"/>
    <w:rsid w:val="000818EF"/>
    <w:rsid w:val="000833BA"/>
    <w:rsid w:val="00084711"/>
    <w:rsid w:val="0008521F"/>
    <w:rsid w:val="0008615F"/>
    <w:rsid w:val="0008754A"/>
    <w:rsid w:val="00091D20"/>
    <w:rsid w:val="00096A8D"/>
    <w:rsid w:val="00096DC8"/>
    <w:rsid w:val="000A0701"/>
    <w:rsid w:val="000A0750"/>
    <w:rsid w:val="000A40AF"/>
    <w:rsid w:val="000A4AEA"/>
    <w:rsid w:val="000A503C"/>
    <w:rsid w:val="000A5409"/>
    <w:rsid w:val="000B1AD7"/>
    <w:rsid w:val="000B2F05"/>
    <w:rsid w:val="000B3BF7"/>
    <w:rsid w:val="000B5D20"/>
    <w:rsid w:val="000B7725"/>
    <w:rsid w:val="000B7E58"/>
    <w:rsid w:val="000B7FD0"/>
    <w:rsid w:val="000C0491"/>
    <w:rsid w:val="000C0E08"/>
    <w:rsid w:val="000C2174"/>
    <w:rsid w:val="000C27E2"/>
    <w:rsid w:val="000C2CB2"/>
    <w:rsid w:val="000C4832"/>
    <w:rsid w:val="000C5759"/>
    <w:rsid w:val="000C721F"/>
    <w:rsid w:val="000C7CE4"/>
    <w:rsid w:val="000D0296"/>
    <w:rsid w:val="000D2E82"/>
    <w:rsid w:val="000D2EC7"/>
    <w:rsid w:val="000D3370"/>
    <w:rsid w:val="000D49EA"/>
    <w:rsid w:val="000D5665"/>
    <w:rsid w:val="000E23FE"/>
    <w:rsid w:val="000E4832"/>
    <w:rsid w:val="000E5305"/>
    <w:rsid w:val="000E6026"/>
    <w:rsid w:val="000F016E"/>
    <w:rsid w:val="000F0B4E"/>
    <w:rsid w:val="000F186F"/>
    <w:rsid w:val="000F2233"/>
    <w:rsid w:val="000F7341"/>
    <w:rsid w:val="001001F9"/>
    <w:rsid w:val="0010092B"/>
    <w:rsid w:val="00101583"/>
    <w:rsid w:val="00102F53"/>
    <w:rsid w:val="001035DF"/>
    <w:rsid w:val="00103C32"/>
    <w:rsid w:val="0010420D"/>
    <w:rsid w:val="00104530"/>
    <w:rsid w:val="001121D8"/>
    <w:rsid w:val="00113C11"/>
    <w:rsid w:val="00114DF0"/>
    <w:rsid w:val="00117BBC"/>
    <w:rsid w:val="00120D07"/>
    <w:rsid w:val="00120D38"/>
    <w:rsid w:val="00121091"/>
    <w:rsid w:val="00122DF5"/>
    <w:rsid w:val="00125293"/>
    <w:rsid w:val="00125900"/>
    <w:rsid w:val="00125D93"/>
    <w:rsid w:val="001300B1"/>
    <w:rsid w:val="00130C99"/>
    <w:rsid w:val="0013160C"/>
    <w:rsid w:val="001340FF"/>
    <w:rsid w:val="0013514C"/>
    <w:rsid w:val="001354B0"/>
    <w:rsid w:val="00135644"/>
    <w:rsid w:val="00135B35"/>
    <w:rsid w:val="00140345"/>
    <w:rsid w:val="0014062C"/>
    <w:rsid w:val="00141E9F"/>
    <w:rsid w:val="00142260"/>
    <w:rsid w:val="00142E7A"/>
    <w:rsid w:val="001452E4"/>
    <w:rsid w:val="001467C4"/>
    <w:rsid w:val="00151062"/>
    <w:rsid w:val="00155A91"/>
    <w:rsid w:val="0015693F"/>
    <w:rsid w:val="001606FC"/>
    <w:rsid w:val="00161F2F"/>
    <w:rsid w:val="00164476"/>
    <w:rsid w:val="00165106"/>
    <w:rsid w:val="0016596D"/>
    <w:rsid w:val="00167E2A"/>
    <w:rsid w:val="0017075B"/>
    <w:rsid w:val="001720DB"/>
    <w:rsid w:val="00173E14"/>
    <w:rsid w:val="00174276"/>
    <w:rsid w:val="00175A83"/>
    <w:rsid w:val="00176B92"/>
    <w:rsid w:val="00176EC5"/>
    <w:rsid w:val="00180E6C"/>
    <w:rsid w:val="001817E2"/>
    <w:rsid w:val="0018219F"/>
    <w:rsid w:val="00184AF5"/>
    <w:rsid w:val="00187EE0"/>
    <w:rsid w:val="00194651"/>
    <w:rsid w:val="00194A07"/>
    <w:rsid w:val="00195330"/>
    <w:rsid w:val="00195361"/>
    <w:rsid w:val="001955FA"/>
    <w:rsid w:val="001959A8"/>
    <w:rsid w:val="001964AD"/>
    <w:rsid w:val="001972ED"/>
    <w:rsid w:val="00197C9C"/>
    <w:rsid w:val="001A0965"/>
    <w:rsid w:val="001A0EAA"/>
    <w:rsid w:val="001A4ECF"/>
    <w:rsid w:val="001A6445"/>
    <w:rsid w:val="001B0590"/>
    <w:rsid w:val="001B4382"/>
    <w:rsid w:val="001B5B6F"/>
    <w:rsid w:val="001B6219"/>
    <w:rsid w:val="001B717C"/>
    <w:rsid w:val="001B769E"/>
    <w:rsid w:val="001C42F6"/>
    <w:rsid w:val="001C5B5B"/>
    <w:rsid w:val="001D2067"/>
    <w:rsid w:val="001D5205"/>
    <w:rsid w:val="001D54B2"/>
    <w:rsid w:val="001E08C5"/>
    <w:rsid w:val="001E1520"/>
    <w:rsid w:val="001E44E5"/>
    <w:rsid w:val="001E492E"/>
    <w:rsid w:val="001E635C"/>
    <w:rsid w:val="001E6751"/>
    <w:rsid w:val="001E6774"/>
    <w:rsid w:val="001E7DD3"/>
    <w:rsid w:val="001F006B"/>
    <w:rsid w:val="001F1343"/>
    <w:rsid w:val="001F2372"/>
    <w:rsid w:val="001F37C4"/>
    <w:rsid w:val="001F3B4B"/>
    <w:rsid w:val="001F479C"/>
    <w:rsid w:val="001F73C8"/>
    <w:rsid w:val="002011B2"/>
    <w:rsid w:val="002014E4"/>
    <w:rsid w:val="0020404E"/>
    <w:rsid w:val="00206792"/>
    <w:rsid w:val="002118C0"/>
    <w:rsid w:val="00211A8C"/>
    <w:rsid w:val="00215083"/>
    <w:rsid w:val="00215464"/>
    <w:rsid w:val="00215E2B"/>
    <w:rsid w:val="0022275E"/>
    <w:rsid w:val="00222DB2"/>
    <w:rsid w:val="00224246"/>
    <w:rsid w:val="002254F0"/>
    <w:rsid w:val="00235370"/>
    <w:rsid w:val="002479F9"/>
    <w:rsid w:val="002503DA"/>
    <w:rsid w:val="002517A7"/>
    <w:rsid w:val="00254504"/>
    <w:rsid w:val="00256D9C"/>
    <w:rsid w:val="00261797"/>
    <w:rsid w:val="00261E63"/>
    <w:rsid w:val="00262997"/>
    <w:rsid w:val="00262B44"/>
    <w:rsid w:val="00262C85"/>
    <w:rsid w:val="00265DBE"/>
    <w:rsid w:val="00266688"/>
    <w:rsid w:val="0027012E"/>
    <w:rsid w:val="00270349"/>
    <w:rsid w:val="00270888"/>
    <w:rsid w:val="0027127C"/>
    <w:rsid w:val="00272BBF"/>
    <w:rsid w:val="00274297"/>
    <w:rsid w:val="00274967"/>
    <w:rsid w:val="0027567C"/>
    <w:rsid w:val="00276392"/>
    <w:rsid w:val="00276781"/>
    <w:rsid w:val="00276F6A"/>
    <w:rsid w:val="002820AB"/>
    <w:rsid w:val="0028265D"/>
    <w:rsid w:val="00282787"/>
    <w:rsid w:val="002839CC"/>
    <w:rsid w:val="0028503E"/>
    <w:rsid w:val="002859CB"/>
    <w:rsid w:val="00290CD5"/>
    <w:rsid w:val="0029366D"/>
    <w:rsid w:val="00293A11"/>
    <w:rsid w:val="002977BD"/>
    <w:rsid w:val="002A011D"/>
    <w:rsid w:val="002A0198"/>
    <w:rsid w:val="002A354F"/>
    <w:rsid w:val="002A4B9D"/>
    <w:rsid w:val="002A644B"/>
    <w:rsid w:val="002A64C5"/>
    <w:rsid w:val="002A7F29"/>
    <w:rsid w:val="002B03EE"/>
    <w:rsid w:val="002B18BF"/>
    <w:rsid w:val="002B2496"/>
    <w:rsid w:val="002B28D5"/>
    <w:rsid w:val="002B291A"/>
    <w:rsid w:val="002B2C67"/>
    <w:rsid w:val="002B382E"/>
    <w:rsid w:val="002B6526"/>
    <w:rsid w:val="002B77ED"/>
    <w:rsid w:val="002B7DAA"/>
    <w:rsid w:val="002B7DAF"/>
    <w:rsid w:val="002C35F6"/>
    <w:rsid w:val="002C4071"/>
    <w:rsid w:val="002C54C7"/>
    <w:rsid w:val="002C5D04"/>
    <w:rsid w:val="002C7082"/>
    <w:rsid w:val="002C7522"/>
    <w:rsid w:val="002D037E"/>
    <w:rsid w:val="002D3417"/>
    <w:rsid w:val="002D3AF5"/>
    <w:rsid w:val="002E084F"/>
    <w:rsid w:val="002E11F4"/>
    <w:rsid w:val="002E3CC1"/>
    <w:rsid w:val="002E3F49"/>
    <w:rsid w:val="002E47E5"/>
    <w:rsid w:val="002E4857"/>
    <w:rsid w:val="002E5AD0"/>
    <w:rsid w:val="002E6C07"/>
    <w:rsid w:val="002E7806"/>
    <w:rsid w:val="002E7B2D"/>
    <w:rsid w:val="002F1ECA"/>
    <w:rsid w:val="002F362E"/>
    <w:rsid w:val="002F401F"/>
    <w:rsid w:val="002F412F"/>
    <w:rsid w:val="002F41C6"/>
    <w:rsid w:val="00300F45"/>
    <w:rsid w:val="00304754"/>
    <w:rsid w:val="00304F77"/>
    <w:rsid w:val="003054D2"/>
    <w:rsid w:val="00305E25"/>
    <w:rsid w:val="00307D05"/>
    <w:rsid w:val="00310C45"/>
    <w:rsid w:val="003127D2"/>
    <w:rsid w:val="00313299"/>
    <w:rsid w:val="00314B91"/>
    <w:rsid w:val="00314DFF"/>
    <w:rsid w:val="003164FD"/>
    <w:rsid w:val="003179FB"/>
    <w:rsid w:val="003206B8"/>
    <w:rsid w:val="00320AE9"/>
    <w:rsid w:val="00320D5F"/>
    <w:rsid w:val="003229AF"/>
    <w:rsid w:val="00322DFD"/>
    <w:rsid w:val="00323158"/>
    <w:rsid w:val="00323B51"/>
    <w:rsid w:val="00323B84"/>
    <w:rsid w:val="00323DAD"/>
    <w:rsid w:val="003248F3"/>
    <w:rsid w:val="00325363"/>
    <w:rsid w:val="0032625D"/>
    <w:rsid w:val="00327AE4"/>
    <w:rsid w:val="00331324"/>
    <w:rsid w:val="00333F86"/>
    <w:rsid w:val="00336498"/>
    <w:rsid w:val="003416DE"/>
    <w:rsid w:val="00342ABE"/>
    <w:rsid w:val="003433DC"/>
    <w:rsid w:val="0034508E"/>
    <w:rsid w:val="00351829"/>
    <w:rsid w:val="003519F7"/>
    <w:rsid w:val="00351B4C"/>
    <w:rsid w:val="00351EE6"/>
    <w:rsid w:val="003549D7"/>
    <w:rsid w:val="00354C17"/>
    <w:rsid w:val="00355F65"/>
    <w:rsid w:val="003623B6"/>
    <w:rsid w:val="003672E3"/>
    <w:rsid w:val="00367FD5"/>
    <w:rsid w:val="00370B7E"/>
    <w:rsid w:val="00370D3D"/>
    <w:rsid w:val="003764FD"/>
    <w:rsid w:val="003768C7"/>
    <w:rsid w:val="00380EFA"/>
    <w:rsid w:val="003849EC"/>
    <w:rsid w:val="00385A1C"/>
    <w:rsid w:val="00385D3D"/>
    <w:rsid w:val="0038613D"/>
    <w:rsid w:val="00387D7F"/>
    <w:rsid w:val="00390AE7"/>
    <w:rsid w:val="00390DF1"/>
    <w:rsid w:val="00391E3C"/>
    <w:rsid w:val="00392053"/>
    <w:rsid w:val="00394B86"/>
    <w:rsid w:val="00394E1D"/>
    <w:rsid w:val="00395BD2"/>
    <w:rsid w:val="00395F77"/>
    <w:rsid w:val="00395FEF"/>
    <w:rsid w:val="003A1726"/>
    <w:rsid w:val="003A1E7E"/>
    <w:rsid w:val="003A212E"/>
    <w:rsid w:val="003A4DA9"/>
    <w:rsid w:val="003B20BE"/>
    <w:rsid w:val="003B34E2"/>
    <w:rsid w:val="003B36B6"/>
    <w:rsid w:val="003B5173"/>
    <w:rsid w:val="003B5413"/>
    <w:rsid w:val="003B7166"/>
    <w:rsid w:val="003C03CB"/>
    <w:rsid w:val="003C2D3B"/>
    <w:rsid w:val="003C41F3"/>
    <w:rsid w:val="003C49FC"/>
    <w:rsid w:val="003C7515"/>
    <w:rsid w:val="003D462A"/>
    <w:rsid w:val="003D688D"/>
    <w:rsid w:val="003D77F2"/>
    <w:rsid w:val="003E0E97"/>
    <w:rsid w:val="003E4456"/>
    <w:rsid w:val="003E44AE"/>
    <w:rsid w:val="003E5309"/>
    <w:rsid w:val="003E606A"/>
    <w:rsid w:val="003E7B79"/>
    <w:rsid w:val="003F1E63"/>
    <w:rsid w:val="003F1E6A"/>
    <w:rsid w:val="003F2039"/>
    <w:rsid w:val="003F2722"/>
    <w:rsid w:val="003F3714"/>
    <w:rsid w:val="003F3C3A"/>
    <w:rsid w:val="003F482A"/>
    <w:rsid w:val="00400C02"/>
    <w:rsid w:val="00401820"/>
    <w:rsid w:val="00411D17"/>
    <w:rsid w:val="00412058"/>
    <w:rsid w:val="00412239"/>
    <w:rsid w:val="00413682"/>
    <w:rsid w:val="0041423F"/>
    <w:rsid w:val="004150BD"/>
    <w:rsid w:val="004155BA"/>
    <w:rsid w:val="00416199"/>
    <w:rsid w:val="00416D54"/>
    <w:rsid w:val="00417393"/>
    <w:rsid w:val="004175DC"/>
    <w:rsid w:val="0042118B"/>
    <w:rsid w:val="0042218C"/>
    <w:rsid w:val="00422B7C"/>
    <w:rsid w:val="00422D6B"/>
    <w:rsid w:val="004245B6"/>
    <w:rsid w:val="00424A34"/>
    <w:rsid w:val="00424F43"/>
    <w:rsid w:val="00427863"/>
    <w:rsid w:val="00431214"/>
    <w:rsid w:val="00432898"/>
    <w:rsid w:val="00432B1F"/>
    <w:rsid w:val="00432CC2"/>
    <w:rsid w:val="0043354D"/>
    <w:rsid w:val="004367B4"/>
    <w:rsid w:val="00441A61"/>
    <w:rsid w:val="004438AE"/>
    <w:rsid w:val="0045119F"/>
    <w:rsid w:val="004523A0"/>
    <w:rsid w:val="00453ED8"/>
    <w:rsid w:val="00460EAB"/>
    <w:rsid w:val="0046106E"/>
    <w:rsid w:val="00462F87"/>
    <w:rsid w:val="0046512D"/>
    <w:rsid w:val="0046622F"/>
    <w:rsid w:val="00466406"/>
    <w:rsid w:val="00467367"/>
    <w:rsid w:val="00470F1B"/>
    <w:rsid w:val="004711A5"/>
    <w:rsid w:val="00474E14"/>
    <w:rsid w:val="00475E4B"/>
    <w:rsid w:val="0047700E"/>
    <w:rsid w:val="00481368"/>
    <w:rsid w:val="00481F27"/>
    <w:rsid w:val="004874AC"/>
    <w:rsid w:val="00490933"/>
    <w:rsid w:val="0049103B"/>
    <w:rsid w:val="004912D1"/>
    <w:rsid w:val="00491C21"/>
    <w:rsid w:val="00492C5B"/>
    <w:rsid w:val="00496E34"/>
    <w:rsid w:val="004A06CB"/>
    <w:rsid w:val="004A139B"/>
    <w:rsid w:val="004A2D58"/>
    <w:rsid w:val="004A3A92"/>
    <w:rsid w:val="004B17C8"/>
    <w:rsid w:val="004B2053"/>
    <w:rsid w:val="004B21B2"/>
    <w:rsid w:val="004B2888"/>
    <w:rsid w:val="004B6F74"/>
    <w:rsid w:val="004C0414"/>
    <w:rsid w:val="004C0884"/>
    <w:rsid w:val="004C20B0"/>
    <w:rsid w:val="004C256F"/>
    <w:rsid w:val="004C3968"/>
    <w:rsid w:val="004C3DE5"/>
    <w:rsid w:val="004C43BE"/>
    <w:rsid w:val="004C4CA9"/>
    <w:rsid w:val="004C54BA"/>
    <w:rsid w:val="004C5509"/>
    <w:rsid w:val="004C6993"/>
    <w:rsid w:val="004D25A7"/>
    <w:rsid w:val="004D2D63"/>
    <w:rsid w:val="004D37CF"/>
    <w:rsid w:val="004D3916"/>
    <w:rsid w:val="004D3B51"/>
    <w:rsid w:val="004D59DC"/>
    <w:rsid w:val="004D686B"/>
    <w:rsid w:val="004D7AFB"/>
    <w:rsid w:val="004E2221"/>
    <w:rsid w:val="004E2260"/>
    <w:rsid w:val="004E436C"/>
    <w:rsid w:val="004E791D"/>
    <w:rsid w:val="004F4CCC"/>
    <w:rsid w:val="004F5008"/>
    <w:rsid w:val="004F59A6"/>
    <w:rsid w:val="004F5AD0"/>
    <w:rsid w:val="00500222"/>
    <w:rsid w:val="00501C8A"/>
    <w:rsid w:val="005031E5"/>
    <w:rsid w:val="00503EE3"/>
    <w:rsid w:val="00504FAF"/>
    <w:rsid w:val="00506E03"/>
    <w:rsid w:val="005104D0"/>
    <w:rsid w:val="005108E8"/>
    <w:rsid w:val="005109FF"/>
    <w:rsid w:val="00511165"/>
    <w:rsid w:val="00512E4E"/>
    <w:rsid w:val="00513281"/>
    <w:rsid w:val="005145E6"/>
    <w:rsid w:val="00516716"/>
    <w:rsid w:val="005208BF"/>
    <w:rsid w:val="005209FC"/>
    <w:rsid w:val="0052166D"/>
    <w:rsid w:val="00522B74"/>
    <w:rsid w:val="00522E18"/>
    <w:rsid w:val="00524ADC"/>
    <w:rsid w:val="00525DF2"/>
    <w:rsid w:val="005316E9"/>
    <w:rsid w:val="005329F2"/>
    <w:rsid w:val="00532D61"/>
    <w:rsid w:val="005340E7"/>
    <w:rsid w:val="005363B3"/>
    <w:rsid w:val="005366A9"/>
    <w:rsid w:val="00536E87"/>
    <w:rsid w:val="00540F5B"/>
    <w:rsid w:val="00542BB6"/>
    <w:rsid w:val="00543365"/>
    <w:rsid w:val="0054337D"/>
    <w:rsid w:val="0054343F"/>
    <w:rsid w:val="00546D3F"/>
    <w:rsid w:val="00552790"/>
    <w:rsid w:val="00552B18"/>
    <w:rsid w:val="00552DBB"/>
    <w:rsid w:val="00553109"/>
    <w:rsid w:val="005539F5"/>
    <w:rsid w:val="005544B9"/>
    <w:rsid w:val="00554F2B"/>
    <w:rsid w:val="0055737C"/>
    <w:rsid w:val="005606D0"/>
    <w:rsid w:val="00561864"/>
    <w:rsid w:val="0056291E"/>
    <w:rsid w:val="0056657E"/>
    <w:rsid w:val="00567EEA"/>
    <w:rsid w:val="0057102F"/>
    <w:rsid w:val="00571655"/>
    <w:rsid w:val="00572686"/>
    <w:rsid w:val="00572ECE"/>
    <w:rsid w:val="00574570"/>
    <w:rsid w:val="00577028"/>
    <w:rsid w:val="00577214"/>
    <w:rsid w:val="00580410"/>
    <w:rsid w:val="00582FA9"/>
    <w:rsid w:val="0058307A"/>
    <w:rsid w:val="005842BF"/>
    <w:rsid w:val="0058437F"/>
    <w:rsid w:val="00590715"/>
    <w:rsid w:val="005913D2"/>
    <w:rsid w:val="00591A61"/>
    <w:rsid w:val="00594164"/>
    <w:rsid w:val="00594405"/>
    <w:rsid w:val="005952D0"/>
    <w:rsid w:val="0059795D"/>
    <w:rsid w:val="005A08B7"/>
    <w:rsid w:val="005A0B26"/>
    <w:rsid w:val="005A1072"/>
    <w:rsid w:val="005A18FC"/>
    <w:rsid w:val="005A28E3"/>
    <w:rsid w:val="005A592B"/>
    <w:rsid w:val="005A70D7"/>
    <w:rsid w:val="005B100F"/>
    <w:rsid w:val="005B293C"/>
    <w:rsid w:val="005B2C5B"/>
    <w:rsid w:val="005B3944"/>
    <w:rsid w:val="005B3F53"/>
    <w:rsid w:val="005B46A2"/>
    <w:rsid w:val="005B4ED0"/>
    <w:rsid w:val="005B5622"/>
    <w:rsid w:val="005C0194"/>
    <w:rsid w:val="005C0622"/>
    <w:rsid w:val="005C2314"/>
    <w:rsid w:val="005C4BED"/>
    <w:rsid w:val="005C5A12"/>
    <w:rsid w:val="005C6835"/>
    <w:rsid w:val="005D0BE5"/>
    <w:rsid w:val="005D0DA7"/>
    <w:rsid w:val="005D35E5"/>
    <w:rsid w:val="005D4527"/>
    <w:rsid w:val="005D4E34"/>
    <w:rsid w:val="005D6214"/>
    <w:rsid w:val="005E06F3"/>
    <w:rsid w:val="005E1124"/>
    <w:rsid w:val="005E1962"/>
    <w:rsid w:val="005E3A77"/>
    <w:rsid w:val="005E4F2C"/>
    <w:rsid w:val="005E5DA0"/>
    <w:rsid w:val="005F23FF"/>
    <w:rsid w:val="005F2A3F"/>
    <w:rsid w:val="005F3061"/>
    <w:rsid w:val="00600808"/>
    <w:rsid w:val="00601D3D"/>
    <w:rsid w:val="00604073"/>
    <w:rsid w:val="00604158"/>
    <w:rsid w:val="00606929"/>
    <w:rsid w:val="0060756A"/>
    <w:rsid w:val="00610243"/>
    <w:rsid w:val="00610716"/>
    <w:rsid w:val="006127B5"/>
    <w:rsid w:val="00612870"/>
    <w:rsid w:val="00612FAB"/>
    <w:rsid w:val="00613224"/>
    <w:rsid w:val="006173B6"/>
    <w:rsid w:val="00620061"/>
    <w:rsid w:val="0062120B"/>
    <w:rsid w:val="006246B5"/>
    <w:rsid w:val="00624B64"/>
    <w:rsid w:val="00625DA9"/>
    <w:rsid w:val="00626F4B"/>
    <w:rsid w:val="0063115A"/>
    <w:rsid w:val="0063432F"/>
    <w:rsid w:val="006366E3"/>
    <w:rsid w:val="006433BD"/>
    <w:rsid w:val="00643E4B"/>
    <w:rsid w:val="00645E15"/>
    <w:rsid w:val="006460B5"/>
    <w:rsid w:val="006471A1"/>
    <w:rsid w:val="00651455"/>
    <w:rsid w:val="00651D04"/>
    <w:rsid w:val="006564C2"/>
    <w:rsid w:val="0066049F"/>
    <w:rsid w:val="006607A4"/>
    <w:rsid w:val="00661586"/>
    <w:rsid w:val="00661DCA"/>
    <w:rsid w:val="00664072"/>
    <w:rsid w:val="006715A6"/>
    <w:rsid w:val="00673B62"/>
    <w:rsid w:val="00674063"/>
    <w:rsid w:val="0067653D"/>
    <w:rsid w:val="0068090F"/>
    <w:rsid w:val="006811AD"/>
    <w:rsid w:val="00681E86"/>
    <w:rsid w:val="006827D2"/>
    <w:rsid w:val="0068398C"/>
    <w:rsid w:val="00684C21"/>
    <w:rsid w:val="006867A1"/>
    <w:rsid w:val="006907B7"/>
    <w:rsid w:val="00690A0E"/>
    <w:rsid w:val="00691718"/>
    <w:rsid w:val="0069348F"/>
    <w:rsid w:val="00693F03"/>
    <w:rsid w:val="0069404D"/>
    <w:rsid w:val="006941A4"/>
    <w:rsid w:val="006945D0"/>
    <w:rsid w:val="00694A21"/>
    <w:rsid w:val="00695128"/>
    <w:rsid w:val="006960E9"/>
    <w:rsid w:val="00696391"/>
    <w:rsid w:val="006964AD"/>
    <w:rsid w:val="006A15EE"/>
    <w:rsid w:val="006A2600"/>
    <w:rsid w:val="006A69E0"/>
    <w:rsid w:val="006A7EA8"/>
    <w:rsid w:val="006B11C0"/>
    <w:rsid w:val="006B15B4"/>
    <w:rsid w:val="006B25B0"/>
    <w:rsid w:val="006B540B"/>
    <w:rsid w:val="006B54C2"/>
    <w:rsid w:val="006B5EBA"/>
    <w:rsid w:val="006B7995"/>
    <w:rsid w:val="006B7F92"/>
    <w:rsid w:val="006C080D"/>
    <w:rsid w:val="006C1EE2"/>
    <w:rsid w:val="006C31BB"/>
    <w:rsid w:val="006C4B11"/>
    <w:rsid w:val="006C4C02"/>
    <w:rsid w:val="006C59FC"/>
    <w:rsid w:val="006C66CE"/>
    <w:rsid w:val="006C691B"/>
    <w:rsid w:val="006D214D"/>
    <w:rsid w:val="006D35B2"/>
    <w:rsid w:val="006D3D5E"/>
    <w:rsid w:val="006D435D"/>
    <w:rsid w:val="006D7B24"/>
    <w:rsid w:val="006E00B3"/>
    <w:rsid w:val="006E0A6D"/>
    <w:rsid w:val="006E0C4C"/>
    <w:rsid w:val="006E0E48"/>
    <w:rsid w:val="006E463B"/>
    <w:rsid w:val="006E58E0"/>
    <w:rsid w:val="006E5EA6"/>
    <w:rsid w:val="006E77EB"/>
    <w:rsid w:val="006E7C0E"/>
    <w:rsid w:val="006F1D3B"/>
    <w:rsid w:val="006F5124"/>
    <w:rsid w:val="006F5178"/>
    <w:rsid w:val="007001CC"/>
    <w:rsid w:val="00702E15"/>
    <w:rsid w:val="007038E9"/>
    <w:rsid w:val="00706621"/>
    <w:rsid w:val="00710C05"/>
    <w:rsid w:val="007129DC"/>
    <w:rsid w:val="007170FE"/>
    <w:rsid w:val="00717CEA"/>
    <w:rsid w:val="00721F45"/>
    <w:rsid w:val="0072445B"/>
    <w:rsid w:val="0073049C"/>
    <w:rsid w:val="0073177C"/>
    <w:rsid w:val="0073301A"/>
    <w:rsid w:val="007333B0"/>
    <w:rsid w:val="00733584"/>
    <w:rsid w:val="00734AAC"/>
    <w:rsid w:val="00734D77"/>
    <w:rsid w:val="00735B76"/>
    <w:rsid w:val="00736C41"/>
    <w:rsid w:val="0073776C"/>
    <w:rsid w:val="007418D3"/>
    <w:rsid w:val="00744057"/>
    <w:rsid w:val="00745949"/>
    <w:rsid w:val="007479A2"/>
    <w:rsid w:val="00750D8E"/>
    <w:rsid w:val="00751126"/>
    <w:rsid w:val="00754013"/>
    <w:rsid w:val="00755236"/>
    <w:rsid w:val="00755B9E"/>
    <w:rsid w:val="007563FB"/>
    <w:rsid w:val="007565B6"/>
    <w:rsid w:val="0075716D"/>
    <w:rsid w:val="00760973"/>
    <w:rsid w:val="007644D2"/>
    <w:rsid w:val="007652F1"/>
    <w:rsid w:val="00765C7B"/>
    <w:rsid w:val="0076628E"/>
    <w:rsid w:val="007663D2"/>
    <w:rsid w:val="007668D1"/>
    <w:rsid w:val="00767248"/>
    <w:rsid w:val="0077483C"/>
    <w:rsid w:val="0077513E"/>
    <w:rsid w:val="00775333"/>
    <w:rsid w:val="007762EC"/>
    <w:rsid w:val="00777E84"/>
    <w:rsid w:val="0078326B"/>
    <w:rsid w:val="0078492A"/>
    <w:rsid w:val="007850C0"/>
    <w:rsid w:val="00785164"/>
    <w:rsid w:val="00785B8C"/>
    <w:rsid w:val="00792D85"/>
    <w:rsid w:val="00792DCA"/>
    <w:rsid w:val="00793870"/>
    <w:rsid w:val="00795808"/>
    <w:rsid w:val="007959C3"/>
    <w:rsid w:val="00796C4B"/>
    <w:rsid w:val="00797462"/>
    <w:rsid w:val="007975CB"/>
    <w:rsid w:val="007A096A"/>
    <w:rsid w:val="007A1589"/>
    <w:rsid w:val="007A24F8"/>
    <w:rsid w:val="007A5822"/>
    <w:rsid w:val="007A7036"/>
    <w:rsid w:val="007B04E3"/>
    <w:rsid w:val="007B0CCC"/>
    <w:rsid w:val="007C1AF5"/>
    <w:rsid w:val="007C25D9"/>
    <w:rsid w:val="007C2BF3"/>
    <w:rsid w:val="007C318C"/>
    <w:rsid w:val="007C4F2D"/>
    <w:rsid w:val="007C5F78"/>
    <w:rsid w:val="007C731F"/>
    <w:rsid w:val="007C7C30"/>
    <w:rsid w:val="007D1534"/>
    <w:rsid w:val="007D24C3"/>
    <w:rsid w:val="007D2561"/>
    <w:rsid w:val="007D3D27"/>
    <w:rsid w:val="007D6731"/>
    <w:rsid w:val="007D6B90"/>
    <w:rsid w:val="007D75D9"/>
    <w:rsid w:val="007E1A8A"/>
    <w:rsid w:val="007E2A39"/>
    <w:rsid w:val="007E2C74"/>
    <w:rsid w:val="007E2CD3"/>
    <w:rsid w:val="007E2F69"/>
    <w:rsid w:val="007E4CA1"/>
    <w:rsid w:val="007E6D89"/>
    <w:rsid w:val="007F0487"/>
    <w:rsid w:val="007F0E50"/>
    <w:rsid w:val="007F15DA"/>
    <w:rsid w:val="007F36DE"/>
    <w:rsid w:val="007F3C4E"/>
    <w:rsid w:val="007F3FF7"/>
    <w:rsid w:val="007F40AC"/>
    <w:rsid w:val="007F41D7"/>
    <w:rsid w:val="007F69F9"/>
    <w:rsid w:val="007F735A"/>
    <w:rsid w:val="00801D09"/>
    <w:rsid w:val="008026AF"/>
    <w:rsid w:val="00802834"/>
    <w:rsid w:val="00803EAD"/>
    <w:rsid w:val="00804014"/>
    <w:rsid w:val="00806164"/>
    <w:rsid w:val="008115F2"/>
    <w:rsid w:val="00813746"/>
    <w:rsid w:val="00816A70"/>
    <w:rsid w:val="00816BA5"/>
    <w:rsid w:val="0081701D"/>
    <w:rsid w:val="00821E6B"/>
    <w:rsid w:val="00822144"/>
    <w:rsid w:val="00824516"/>
    <w:rsid w:val="008250AA"/>
    <w:rsid w:val="00826371"/>
    <w:rsid w:val="00826BD2"/>
    <w:rsid w:val="00831F5D"/>
    <w:rsid w:val="00832946"/>
    <w:rsid w:val="0083400B"/>
    <w:rsid w:val="008345F2"/>
    <w:rsid w:val="008348BD"/>
    <w:rsid w:val="00834ACB"/>
    <w:rsid w:val="008359EC"/>
    <w:rsid w:val="00836DB9"/>
    <w:rsid w:val="0083715B"/>
    <w:rsid w:val="00837E0D"/>
    <w:rsid w:val="00840FC8"/>
    <w:rsid w:val="00841710"/>
    <w:rsid w:val="008421F1"/>
    <w:rsid w:val="00844B6D"/>
    <w:rsid w:val="00846C53"/>
    <w:rsid w:val="0084744B"/>
    <w:rsid w:val="00850BF3"/>
    <w:rsid w:val="008544E0"/>
    <w:rsid w:val="00854681"/>
    <w:rsid w:val="00857135"/>
    <w:rsid w:val="00860FEB"/>
    <w:rsid w:val="00862B19"/>
    <w:rsid w:val="00862BFB"/>
    <w:rsid w:val="0086312F"/>
    <w:rsid w:val="00864C26"/>
    <w:rsid w:val="00866814"/>
    <w:rsid w:val="008735B4"/>
    <w:rsid w:val="00875A55"/>
    <w:rsid w:val="00877A9B"/>
    <w:rsid w:val="00880621"/>
    <w:rsid w:val="00881F94"/>
    <w:rsid w:val="008825E6"/>
    <w:rsid w:val="00883E7C"/>
    <w:rsid w:val="008840D3"/>
    <w:rsid w:val="00884480"/>
    <w:rsid w:val="00884735"/>
    <w:rsid w:val="00884A58"/>
    <w:rsid w:val="00885D81"/>
    <w:rsid w:val="008864A0"/>
    <w:rsid w:val="00887F15"/>
    <w:rsid w:val="008900AD"/>
    <w:rsid w:val="00892341"/>
    <w:rsid w:val="00893F02"/>
    <w:rsid w:val="00894BB5"/>
    <w:rsid w:val="00894CFC"/>
    <w:rsid w:val="00895F40"/>
    <w:rsid w:val="00896057"/>
    <w:rsid w:val="00896A58"/>
    <w:rsid w:val="008A0D97"/>
    <w:rsid w:val="008A1E99"/>
    <w:rsid w:val="008A30D4"/>
    <w:rsid w:val="008A3720"/>
    <w:rsid w:val="008A58B3"/>
    <w:rsid w:val="008A6A31"/>
    <w:rsid w:val="008A7DA2"/>
    <w:rsid w:val="008A7E07"/>
    <w:rsid w:val="008A7EF7"/>
    <w:rsid w:val="008B02D1"/>
    <w:rsid w:val="008B0578"/>
    <w:rsid w:val="008B1661"/>
    <w:rsid w:val="008B22C6"/>
    <w:rsid w:val="008B27ED"/>
    <w:rsid w:val="008B2F81"/>
    <w:rsid w:val="008B4331"/>
    <w:rsid w:val="008B5FC2"/>
    <w:rsid w:val="008B6A69"/>
    <w:rsid w:val="008B766C"/>
    <w:rsid w:val="008B7B86"/>
    <w:rsid w:val="008C02D3"/>
    <w:rsid w:val="008C08EB"/>
    <w:rsid w:val="008C0A41"/>
    <w:rsid w:val="008C1048"/>
    <w:rsid w:val="008C1123"/>
    <w:rsid w:val="008C2D18"/>
    <w:rsid w:val="008C4826"/>
    <w:rsid w:val="008C7AB8"/>
    <w:rsid w:val="008D397A"/>
    <w:rsid w:val="008D3CD4"/>
    <w:rsid w:val="008D4BA7"/>
    <w:rsid w:val="008D51B6"/>
    <w:rsid w:val="008D56A3"/>
    <w:rsid w:val="008D575A"/>
    <w:rsid w:val="008D7090"/>
    <w:rsid w:val="008E0D06"/>
    <w:rsid w:val="008E26EC"/>
    <w:rsid w:val="008E2B1D"/>
    <w:rsid w:val="008E7BD1"/>
    <w:rsid w:val="008F7E90"/>
    <w:rsid w:val="0090045D"/>
    <w:rsid w:val="00900A17"/>
    <w:rsid w:val="009012DA"/>
    <w:rsid w:val="009015AC"/>
    <w:rsid w:val="00903D20"/>
    <w:rsid w:val="009111A6"/>
    <w:rsid w:val="0091161E"/>
    <w:rsid w:val="009127F3"/>
    <w:rsid w:val="00912EDB"/>
    <w:rsid w:val="0091416B"/>
    <w:rsid w:val="00914FB0"/>
    <w:rsid w:val="00921DE3"/>
    <w:rsid w:val="00925DA8"/>
    <w:rsid w:val="00926183"/>
    <w:rsid w:val="00933E02"/>
    <w:rsid w:val="009403ED"/>
    <w:rsid w:val="009411DE"/>
    <w:rsid w:val="00944E8C"/>
    <w:rsid w:val="009464B9"/>
    <w:rsid w:val="009510F7"/>
    <w:rsid w:val="009536B8"/>
    <w:rsid w:val="00953ACF"/>
    <w:rsid w:val="00955D23"/>
    <w:rsid w:val="00956131"/>
    <w:rsid w:val="0095623F"/>
    <w:rsid w:val="009579E7"/>
    <w:rsid w:val="00960E04"/>
    <w:rsid w:val="00961CA7"/>
    <w:rsid w:val="00962BF7"/>
    <w:rsid w:val="00962E13"/>
    <w:rsid w:val="00965D8F"/>
    <w:rsid w:val="00966405"/>
    <w:rsid w:val="00971D7B"/>
    <w:rsid w:val="009726F7"/>
    <w:rsid w:val="00972884"/>
    <w:rsid w:val="00973C51"/>
    <w:rsid w:val="009759E3"/>
    <w:rsid w:val="00975FFD"/>
    <w:rsid w:val="00977C26"/>
    <w:rsid w:val="0098130D"/>
    <w:rsid w:val="009815EA"/>
    <w:rsid w:val="00982E2B"/>
    <w:rsid w:val="009853B2"/>
    <w:rsid w:val="00985739"/>
    <w:rsid w:val="00985ADD"/>
    <w:rsid w:val="00987408"/>
    <w:rsid w:val="00992BD0"/>
    <w:rsid w:val="0099543B"/>
    <w:rsid w:val="009A1EF5"/>
    <w:rsid w:val="009A2401"/>
    <w:rsid w:val="009A2CD8"/>
    <w:rsid w:val="009A3EB7"/>
    <w:rsid w:val="009A4315"/>
    <w:rsid w:val="009A4B40"/>
    <w:rsid w:val="009A4E37"/>
    <w:rsid w:val="009B03FF"/>
    <w:rsid w:val="009B0EB0"/>
    <w:rsid w:val="009B2B1B"/>
    <w:rsid w:val="009B3C9D"/>
    <w:rsid w:val="009B4532"/>
    <w:rsid w:val="009B51F6"/>
    <w:rsid w:val="009B6A69"/>
    <w:rsid w:val="009B6BA0"/>
    <w:rsid w:val="009C1D95"/>
    <w:rsid w:val="009C4E4D"/>
    <w:rsid w:val="009C59DA"/>
    <w:rsid w:val="009C693D"/>
    <w:rsid w:val="009C7768"/>
    <w:rsid w:val="009D1210"/>
    <w:rsid w:val="009D1684"/>
    <w:rsid w:val="009D352C"/>
    <w:rsid w:val="009D6198"/>
    <w:rsid w:val="009D62E3"/>
    <w:rsid w:val="009D70B8"/>
    <w:rsid w:val="009E40AE"/>
    <w:rsid w:val="009E6318"/>
    <w:rsid w:val="009E6C62"/>
    <w:rsid w:val="009F2A6C"/>
    <w:rsid w:val="009F48BB"/>
    <w:rsid w:val="009F6661"/>
    <w:rsid w:val="009F7BE0"/>
    <w:rsid w:val="00A00D31"/>
    <w:rsid w:val="00A0478D"/>
    <w:rsid w:val="00A06854"/>
    <w:rsid w:val="00A07FED"/>
    <w:rsid w:val="00A11DEE"/>
    <w:rsid w:val="00A12A51"/>
    <w:rsid w:val="00A13D88"/>
    <w:rsid w:val="00A14401"/>
    <w:rsid w:val="00A14606"/>
    <w:rsid w:val="00A15749"/>
    <w:rsid w:val="00A157DD"/>
    <w:rsid w:val="00A15B51"/>
    <w:rsid w:val="00A16D1B"/>
    <w:rsid w:val="00A171FC"/>
    <w:rsid w:val="00A2124B"/>
    <w:rsid w:val="00A257C3"/>
    <w:rsid w:val="00A25D7F"/>
    <w:rsid w:val="00A26913"/>
    <w:rsid w:val="00A271EF"/>
    <w:rsid w:val="00A30E48"/>
    <w:rsid w:val="00A3292F"/>
    <w:rsid w:val="00A37154"/>
    <w:rsid w:val="00A37454"/>
    <w:rsid w:val="00A37EBA"/>
    <w:rsid w:val="00A41067"/>
    <w:rsid w:val="00A4598D"/>
    <w:rsid w:val="00A470E5"/>
    <w:rsid w:val="00A50BC3"/>
    <w:rsid w:val="00A5189E"/>
    <w:rsid w:val="00A52081"/>
    <w:rsid w:val="00A57C9B"/>
    <w:rsid w:val="00A610AD"/>
    <w:rsid w:val="00A62254"/>
    <w:rsid w:val="00A62482"/>
    <w:rsid w:val="00A62624"/>
    <w:rsid w:val="00A628C5"/>
    <w:rsid w:val="00A639BA"/>
    <w:rsid w:val="00A652F4"/>
    <w:rsid w:val="00A66FED"/>
    <w:rsid w:val="00A712A6"/>
    <w:rsid w:val="00A71ECA"/>
    <w:rsid w:val="00A72526"/>
    <w:rsid w:val="00A737A4"/>
    <w:rsid w:val="00A801F6"/>
    <w:rsid w:val="00A80B88"/>
    <w:rsid w:val="00A814FB"/>
    <w:rsid w:val="00A833B0"/>
    <w:rsid w:val="00A84C2D"/>
    <w:rsid w:val="00A85D4E"/>
    <w:rsid w:val="00A86C9E"/>
    <w:rsid w:val="00A87458"/>
    <w:rsid w:val="00A8787A"/>
    <w:rsid w:val="00A87984"/>
    <w:rsid w:val="00A90F14"/>
    <w:rsid w:val="00A91677"/>
    <w:rsid w:val="00A9268B"/>
    <w:rsid w:val="00A938F4"/>
    <w:rsid w:val="00A94186"/>
    <w:rsid w:val="00A94DD2"/>
    <w:rsid w:val="00A94F1B"/>
    <w:rsid w:val="00A95B6E"/>
    <w:rsid w:val="00A973DA"/>
    <w:rsid w:val="00AA0FED"/>
    <w:rsid w:val="00AA1479"/>
    <w:rsid w:val="00AA1962"/>
    <w:rsid w:val="00AA385A"/>
    <w:rsid w:val="00AA633B"/>
    <w:rsid w:val="00AA6F50"/>
    <w:rsid w:val="00AA7B4E"/>
    <w:rsid w:val="00AB0768"/>
    <w:rsid w:val="00AB1473"/>
    <w:rsid w:val="00AB1D6E"/>
    <w:rsid w:val="00AB1F20"/>
    <w:rsid w:val="00AB2651"/>
    <w:rsid w:val="00AB4A40"/>
    <w:rsid w:val="00AB6082"/>
    <w:rsid w:val="00AB7503"/>
    <w:rsid w:val="00AB757C"/>
    <w:rsid w:val="00AC10FE"/>
    <w:rsid w:val="00AC2920"/>
    <w:rsid w:val="00AC315B"/>
    <w:rsid w:val="00AC59A8"/>
    <w:rsid w:val="00AC7656"/>
    <w:rsid w:val="00AD0FF3"/>
    <w:rsid w:val="00AD11AA"/>
    <w:rsid w:val="00AD18A8"/>
    <w:rsid w:val="00AD2A2A"/>
    <w:rsid w:val="00AD3DE7"/>
    <w:rsid w:val="00AD6C5C"/>
    <w:rsid w:val="00AE2D94"/>
    <w:rsid w:val="00AF06DE"/>
    <w:rsid w:val="00AF0D98"/>
    <w:rsid w:val="00AF2F44"/>
    <w:rsid w:val="00AF4A57"/>
    <w:rsid w:val="00AF51BC"/>
    <w:rsid w:val="00AF549A"/>
    <w:rsid w:val="00AF6272"/>
    <w:rsid w:val="00AF64AA"/>
    <w:rsid w:val="00AF6B40"/>
    <w:rsid w:val="00AF7308"/>
    <w:rsid w:val="00B0002A"/>
    <w:rsid w:val="00B019E4"/>
    <w:rsid w:val="00B045A6"/>
    <w:rsid w:val="00B06359"/>
    <w:rsid w:val="00B07B50"/>
    <w:rsid w:val="00B11537"/>
    <w:rsid w:val="00B14719"/>
    <w:rsid w:val="00B14FE1"/>
    <w:rsid w:val="00B23F1E"/>
    <w:rsid w:val="00B25712"/>
    <w:rsid w:val="00B26304"/>
    <w:rsid w:val="00B2719A"/>
    <w:rsid w:val="00B27931"/>
    <w:rsid w:val="00B27B16"/>
    <w:rsid w:val="00B300A4"/>
    <w:rsid w:val="00B30CA1"/>
    <w:rsid w:val="00B30CBD"/>
    <w:rsid w:val="00B315CB"/>
    <w:rsid w:val="00B32127"/>
    <w:rsid w:val="00B33885"/>
    <w:rsid w:val="00B33ACC"/>
    <w:rsid w:val="00B36276"/>
    <w:rsid w:val="00B3758E"/>
    <w:rsid w:val="00B37DE0"/>
    <w:rsid w:val="00B40B97"/>
    <w:rsid w:val="00B42892"/>
    <w:rsid w:val="00B428EE"/>
    <w:rsid w:val="00B5081C"/>
    <w:rsid w:val="00B5106A"/>
    <w:rsid w:val="00B511B0"/>
    <w:rsid w:val="00B56C3E"/>
    <w:rsid w:val="00B623D9"/>
    <w:rsid w:val="00B6562A"/>
    <w:rsid w:val="00B671D7"/>
    <w:rsid w:val="00B72578"/>
    <w:rsid w:val="00B72B63"/>
    <w:rsid w:val="00B73D65"/>
    <w:rsid w:val="00B75539"/>
    <w:rsid w:val="00B7677A"/>
    <w:rsid w:val="00B812ED"/>
    <w:rsid w:val="00B852DC"/>
    <w:rsid w:val="00B86CE5"/>
    <w:rsid w:val="00B8738C"/>
    <w:rsid w:val="00B87512"/>
    <w:rsid w:val="00B9006C"/>
    <w:rsid w:val="00B91223"/>
    <w:rsid w:val="00B91CAE"/>
    <w:rsid w:val="00B92707"/>
    <w:rsid w:val="00B93760"/>
    <w:rsid w:val="00B94975"/>
    <w:rsid w:val="00B95709"/>
    <w:rsid w:val="00B96D1D"/>
    <w:rsid w:val="00B97B93"/>
    <w:rsid w:val="00B97F44"/>
    <w:rsid w:val="00BA0ACB"/>
    <w:rsid w:val="00BA2703"/>
    <w:rsid w:val="00BA5D0D"/>
    <w:rsid w:val="00BB0AE0"/>
    <w:rsid w:val="00BB3D62"/>
    <w:rsid w:val="00BB3F83"/>
    <w:rsid w:val="00BB4ACE"/>
    <w:rsid w:val="00BB59D3"/>
    <w:rsid w:val="00BB7EB2"/>
    <w:rsid w:val="00BC1033"/>
    <w:rsid w:val="00BC1D24"/>
    <w:rsid w:val="00BC2C98"/>
    <w:rsid w:val="00BC52AD"/>
    <w:rsid w:val="00BC5722"/>
    <w:rsid w:val="00BC626F"/>
    <w:rsid w:val="00BD064A"/>
    <w:rsid w:val="00BD1116"/>
    <w:rsid w:val="00BD2A80"/>
    <w:rsid w:val="00BD3A86"/>
    <w:rsid w:val="00BD425E"/>
    <w:rsid w:val="00BD43DC"/>
    <w:rsid w:val="00BE02DD"/>
    <w:rsid w:val="00BE399B"/>
    <w:rsid w:val="00BE47AB"/>
    <w:rsid w:val="00BE4911"/>
    <w:rsid w:val="00BE604B"/>
    <w:rsid w:val="00BF1BD5"/>
    <w:rsid w:val="00BF2EC0"/>
    <w:rsid w:val="00BF4DF2"/>
    <w:rsid w:val="00BF504B"/>
    <w:rsid w:val="00BF5983"/>
    <w:rsid w:val="00C00028"/>
    <w:rsid w:val="00C00402"/>
    <w:rsid w:val="00C00BE3"/>
    <w:rsid w:val="00C037CD"/>
    <w:rsid w:val="00C03970"/>
    <w:rsid w:val="00C0452F"/>
    <w:rsid w:val="00C05827"/>
    <w:rsid w:val="00C07EBB"/>
    <w:rsid w:val="00C07FE3"/>
    <w:rsid w:val="00C10474"/>
    <w:rsid w:val="00C10502"/>
    <w:rsid w:val="00C110BA"/>
    <w:rsid w:val="00C12F06"/>
    <w:rsid w:val="00C1333F"/>
    <w:rsid w:val="00C13A8E"/>
    <w:rsid w:val="00C144E8"/>
    <w:rsid w:val="00C160C0"/>
    <w:rsid w:val="00C164A0"/>
    <w:rsid w:val="00C16524"/>
    <w:rsid w:val="00C17FF6"/>
    <w:rsid w:val="00C226A1"/>
    <w:rsid w:val="00C2520D"/>
    <w:rsid w:val="00C25E0F"/>
    <w:rsid w:val="00C2740F"/>
    <w:rsid w:val="00C31322"/>
    <w:rsid w:val="00C31BAE"/>
    <w:rsid w:val="00C36B0F"/>
    <w:rsid w:val="00C41358"/>
    <w:rsid w:val="00C422CE"/>
    <w:rsid w:val="00C42937"/>
    <w:rsid w:val="00C47A03"/>
    <w:rsid w:val="00C47C3B"/>
    <w:rsid w:val="00C47EA5"/>
    <w:rsid w:val="00C5108C"/>
    <w:rsid w:val="00C52A65"/>
    <w:rsid w:val="00C52AC2"/>
    <w:rsid w:val="00C52BAA"/>
    <w:rsid w:val="00C53A8F"/>
    <w:rsid w:val="00C53DAF"/>
    <w:rsid w:val="00C54738"/>
    <w:rsid w:val="00C55EF3"/>
    <w:rsid w:val="00C56348"/>
    <w:rsid w:val="00C604B8"/>
    <w:rsid w:val="00C629C3"/>
    <w:rsid w:val="00C631B5"/>
    <w:rsid w:val="00C63B1C"/>
    <w:rsid w:val="00C655A3"/>
    <w:rsid w:val="00C72917"/>
    <w:rsid w:val="00C760FC"/>
    <w:rsid w:val="00C800D7"/>
    <w:rsid w:val="00C80655"/>
    <w:rsid w:val="00C80EAC"/>
    <w:rsid w:val="00C831E4"/>
    <w:rsid w:val="00C83EE5"/>
    <w:rsid w:val="00C855DC"/>
    <w:rsid w:val="00C85A90"/>
    <w:rsid w:val="00C86006"/>
    <w:rsid w:val="00C90F5B"/>
    <w:rsid w:val="00C92B18"/>
    <w:rsid w:val="00C945D7"/>
    <w:rsid w:val="00CA1BCF"/>
    <w:rsid w:val="00CA4F71"/>
    <w:rsid w:val="00CA5979"/>
    <w:rsid w:val="00CA72F2"/>
    <w:rsid w:val="00CA7860"/>
    <w:rsid w:val="00CB386C"/>
    <w:rsid w:val="00CB56CE"/>
    <w:rsid w:val="00CB747D"/>
    <w:rsid w:val="00CC1480"/>
    <w:rsid w:val="00CD16AA"/>
    <w:rsid w:val="00CD2F39"/>
    <w:rsid w:val="00CD530B"/>
    <w:rsid w:val="00CD653B"/>
    <w:rsid w:val="00CD7620"/>
    <w:rsid w:val="00CE0B44"/>
    <w:rsid w:val="00CE15CE"/>
    <w:rsid w:val="00CE3338"/>
    <w:rsid w:val="00CE7CD0"/>
    <w:rsid w:val="00CF058B"/>
    <w:rsid w:val="00CF0B1F"/>
    <w:rsid w:val="00CF1621"/>
    <w:rsid w:val="00CF168A"/>
    <w:rsid w:val="00CF4935"/>
    <w:rsid w:val="00CF5D02"/>
    <w:rsid w:val="00CF7711"/>
    <w:rsid w:val="00D00B00"/>
    <w:rsid w:val="00D05510"/>
    <w:rsid w:val="00D05598"/>
    <w:rsid w:val="00D060B2"/>
    <w:rsid w:val="00D0642D"/>
    <w:rsid w:val="00D07924"/>
    <w:rsid w:val="00D10056"/>
    <w:rsid w:val="00D129F2"/>
    <w:rsid w:val="00D13683"/>
    <w:rsid w:val="00D1489F"/>
    <w:rsid w:val="00D14DBE"/>
    <w:rsid w:val="00D16229"/>
    <w:rsid w:val="00D1699F"/>
    <w:rsid w:val="00D1700D"/>
    <w:rsid w:val="00D22748"/>
    <w:rsid w:val="00D22791"/>
    <w:rsid w:val="00D22DDF"/>
    <w:rsid w:val="00D2385E"/>
    <w:rsid w:val="00D2397E"/>
    <w:rsid w:val="00D25688"/>
    <w:rsid w:val="00D26211"/>
    <w:rsid w:val="00D320CE"/>
    <w:rsid w:val="00D36A46"/>
    <w:rsid w:val="00D37C37"/>
    <w:rsid w:val="00D37C91"/>
    <w:rsid w:val="00D428E9"/>
    <w:rsid w:val="00D437A8"/>
    <w:rsid w:val="00D44D87"/>
    <w:rsid w:val="00D45DBF"/>
    <w:rsid w:val="00D468AB"/>
    <w:rsid w:val="00D47FDA"/>
    <w:rsid w:val="00D5004E"/>
    <w:rsid w:val="00D53CE7"/>
    <w:rsid w:val="00D53DD1"/>
    <w:rsid w:val="00D56E5C"/>
    <w:rsid w:val="00D57464"/>
    <w:rsid w:val="00D5775D"/>
    <w:rsid w:val="00D61CC5"/>
    <w:rsid w:val="00D65662"/>
    <w:rsid w:val="00D65A7F"/>
    <w:rsid w:val="00D66C0E"/>
    <w:rsid w:val="00D72DEC"/>
    <w:rsid w:val="00D73462"/>
    <w:rsid w:val="00D741B0"/>
    <w:rsid w:val="00D74DF4"/>
    <w:rsid w:val="00D75D2D"/>
    <w:rsid w:val="00D76399"/>
    <w:rsid w:val="00D771B9"/>
    <w:rsid w:val="00D779B2"/>
    <w:rsid w:val="00D77C26"/>
    <w:rsid w:val="00D81E8D"/>
    <w:rsid w:val="00D81EFB"/>
    <w:rsid w:val="00D82101"/>
    <w:rsid w:val="00D834EA"/>
    <w:rsid w:val="00D83782"/>
    <w:rsid w:val="00D85FDA"/>
    <w:rsid w:val="00D8645F"/>
    <w:rsid w:val="00D86858"/>
    <w:rsid w:val="00D871FC"/>
    <w:rsid w:val="00D91AC6"/>
    <w:rsid w:val="00D92A25"/>
    <w:rsid w:val="00D93705"/>
    <w:rsid w:val="00D957A7"/>
    <w:rsid w:val="00D9600F"/>
    <w:rsid w:val="00DA0179"/>
    <w:rsid w:val="00DA46D0"/>
    <w:rsid w:val="00DA51C3"/>
    <w:rsid w:val="00DA5F40"/>
    <w:rsid w:val="00DA67ED"/>
    <w:rsid w:val="00DB05B3"/>
    <w:rsid w:val="00DB2191"/>
    <w:rsid w:val="00DB285B"/>
    <w:rsid w:val="00DB6EFD"/>
    <w:rsid w:val="00DC1CF1"/>
    <w:rsid w:val="00DC2A6C"/>
    <w:rsid w:val="00DC2FDB"/>
    <w:rsid w:val="00DC3827"/>
    <w:rsid w:val="00DC5158"/>
    <w:rsid w:val="00DC527B"/>
    <w:rsid w:val="00DC57CF"/>
    <w:rsid w:val="00DC6088"/>
    <w:rsid w:val="00DC79E5"/>
    <w:rsid w:val="00DD099C"/>
    <w:rsid w:val="00DD21C1"/>
    <w:rsid w:val="00DD2D67"/>
    <w:rsid w:val="00DD2E8E"/>
    <w:rsid w:val="00DD56F9"/>
    <w:rsid w:val="00DD74CA"/>
    <w:rsid w:val="00DE1E1B"/>
    <w:rsid w:val="00DE7BC1"/>
    <w:rsid w:val="00DF0301"/>
    <w:rsid w:val="00DF1EB6"/>
    <w:rsid w:val="00DF3A21"/>
    <w:rsid w:val="00DF5807"/>
    <w:rsid w:val="00DF5C24"/>
    <w:rsid w:val="00DF6A1E"/>
    <w:rsid w:val="00E004F0"/>
    <w:rsid w:val="00E019C6"/>
    <w:rsid w:val="00E01AE5"/>
    <w:rsid w:val="00E01B83"/>
    <w:rsid w:val="00E01FBF"/>
    <w:rsid w:val="00E02189"/>
    <w:rsid w:val="00E02E7D"/>
    <w:rsid w:val="00E040B7"/>
    <w:rsid w:val="00E0491F"/>
    <w:rsid w:val="00E06090"/>
    <w:rsid w:val="00E11E85"/>
    <w:rsid w:val="00E14203"/>
    <w:rsid w:val="00E16C87"/>
    <w:rsid w:val="00E2077D"/>
    <w:rsid w:val="00E20BC0"/>
    <w:rsid w:val="00E225C3"/>
    <w:rsid w:val="00E22B22"/>
    <w:rsid w:val="00E24541"/>
    <w:rsid w:val="00E261ED"/>
    <w:rsid w:val="00E27D29"/>
    <w:rsid w:val="00E27E0B"/>
    <w:rsid w:val="00E30553"/>
    <w:rsid w:val="00E31DB8"/>
    <w:rsid w:val="00E32728"/>
    <w:rsid w:val="00E339AD"/>
    <w:rsid w:val="00E41E7B"/>
    <w:rsid w:val="00E42265"/>
    <w:rsid w:val="00E4259B"/>
    <w:rsid w:val="00E432F5"/>
    <w:rsid w:val="00E44C92"/>
    <w:rsid w:val="00E45D01"/>
    <w:rsid w:val="00E467E7"/>
    <w:rsid w:val="00E46EBF"/>
    <w:rsid w:val="00E47AAF"/>
    <w:rsid w:val="00E47EDD"/>
    <w:rsid w:val="00E55762"/>
    <w:rsid w:val="00E5630E"/>
    <w:rsid w:val="00E60E8C"/>
    <w:rsid w:val="00E6188B"/>
    <w:rsid w:val="00E643F5"/>
    <w:rsid w:val="00E6774A"/>
    <w:rsid w:val="00E67D65"/>
    <w:rsid w:val="00E70428"/>
    <w:rsid w:val="00E725DB"/>
    <w:rsid w:val="00E72C9F"/>
    <w:rsid w:val="00E74224"/>
    <w:rsid w:val="00E75979"/>
    <w:rsid w:val="00E75D5C"/>
    <w:rsid w:val="00E7615E"/>
    <w:rsid w:val="00E76C8C"/>
    <w:rsid w:val="00E802F4"/>
    <w:rsid w:val="00E82337"/>
    <w:rsid w:val="00E83277"/>
    <w:rsid w:val="00E8359D"/>
    <w:rsid w:val="00E84649"/>
    <w:rsid w:val="00E84A47"/>
    <w:rsid w:val="00E850A4"/>
    <w:rsid w:val="00E850A6"/>
    <w:rsid w:val="00E851B4"/>
    <w:rsid w:val="00E86DE9"/>
    <w:rsid w:val="00E916D3"/>
    <w:rsid w:val="00E91DE3"/>
    <w:rsid w:val="00E92953"/>
    <w:rsid w:val="00E967EA"/>
    <w:rsid w:val="00E96CD0"/>
    <w:rsid w:val="00EA1F78"/>
    <w:rsid w:val="00EA2CE0"/>
    <w:rsid w:val="00EA2FAF"/>
    <w:rsid w:val="00EA5687"/>
    <w:rsid w:val="00EA609D"/>
    <w:rsid w:val="00EA6A89"/>
    <w:rsid w:val="00EA7F70"/>
    <w:rsid w:val="00EB11E4"/>
    <w:rsid w:val="00EB2648"/>
    <w:rsid w:val="00EB2BD6"/>
    <w:rsid w:val="00EB3EFA"/>
    <w:rsid w:val="00EB5B62"/>
    <w:rsid w:val="00EB7FCB"/>
    <w:rsid w:val="00EC0918"/>
    <w:rsid w:val="00EC4893"/>
    <w:rsid w:val="00EC5CA6"/>
    <w:rsid w:val="00EC6CF8"/>
    <w:rsid w:val="00EC7222"/>
    <w:rsid w:val="00EC7C62"/>
    <w:rsid w:val="00ED003E"/>
    <w:rsid w:val="00ED217D"/>
    <w:rsid w:val="00ED3E44"/>
    <w:rsid w:val="00ED573D"/>
    <w:rsid w:val="00EE1F5D"/>
    <w:rsid w:val="00EE2358"/>
    <w:rsid w:val="00EE42B6"/>
    <w:rsid w:val="00EE4A0E"/>
    <w:rsid w:val="00EE7564"/>
    <w:rsid w:val="00EF1613"/>
    <w:rsid w:val="00EF1862"/>
    <w:rsid w:val="00EF2208"/>
    <w:rsid w:val="00EF2FB8"/>
    <w:rsid w:val="00EF4D29"/>
    <w:rsid w:val="00EF4F4F"/>
    <w:rsid w:val="00EF62A4"/>
    <w:rsid w:val="00EF7CE4"/>
    <w:rsid w:val="00F01C3D"/>
    <w:rsid w:val="00F02F56"/>
    <w:rsid w:val="00F1257F"/>
    <w:rsid w:val="00F14296"/>
    <w:rsid w:val="00F15A2F"/>
    <w:rsid w:val="00F16466"/>
    <w:rsid w:val="00F1705D"/>
    <w:rsid w:val="00F1774D"/>
    <w:rsid w:val="00F237C0"/>
    <w:rsid w:val="00F23D3C"/>
    <w:rsid w:val="00F242D3"/>
    <w:rsid w:val="00F24D2B"/>
    <w:rsid w:val="00F265E3"/>
    <w:rsid w:val="00F27437"/>
    <w:rsid w:val="00F278AF"/>
    <w:rsid w:val="00F30DEC"/>
    <w:rsid w:val="00F30FDF"/>
    <w:rsid w:val="00F329D7"/>
    <w:rsid w:val="00F33621"/>
    <w:rsid w:val="00F36737"/>
    <w:rsid w:val="00F37B59"/>
    <w:rsid w:val="00F400CD"/>
    <w:rsid w:val="00F43FCD"/>
    <w:rsid w:val="00F45158"/>
    <w:rsid w:val="00F454D9"/>
    <w:rsid w:val="00F46156"/>
    <w:rsid w:val="00F47534"/>
    <w:rsid w:val="00F47EF5"/>
    <w:rsid w:val="00F501F8"/>
    <w:rsid w:val="00F50A94"/>
    <w:rsid w:val="00F5170F"/>
    <w:rsid w:val="00F53BA3"/>
    <w:rsid w:val="00F55658"/>
    <w:rsid w:val="00F567D7"/>
    <w:rsid w:val="00F6244D"/>
    <w:rsid w:val="00F65ABA"/>
    <w:rsid w:val="00F6702D"/>
    <w:rsid w:val="00F67A6F"/>
    <w:rsid w:val="00F70E9D"/>
    <w:rsid w:val="00F7326A"/>
    <w:rsid w:val="00F73DEC"/>
    <w:rsid w:val="00F743B1"/>
    <w:rsid w:val="00F757CC"/>
    <w:rsid w:val="00F83AEC"/>
    <w:rsid w:val="00F85215"/>
    <w:rsid w:val="00F85641"/>
    <w:rsid w:val="00F85F5B"/>
    <w:rsid w:val="00F86469"/>
    <w:rsid w:val="00F87036"/>
    <w:rsid w:val="00F91707"/>
    <w:rsid w:val="00F91874"/>
    <w:rsid w:val="00F938CC"/>
    <w:rsid w:val="00F96B0B"/>
    <w:rsid w:val="00F96B30"/>
    <w:rsid w:val="00FA02FA"/>
    <w:rsid w:val="00FA1E84"/>
    <w:rsid w:val="00FA1FCA"/>
    <w:rsid w:val="00FA3023"/>
    <w:rsid w:val="00FA4891"/>
    <w:rsid w:val="00FA51EE"/>
    <w:rsid w:val="00FA63C8"/>
    <w:rsid w:val="00FA7A32"/>
    <w:rsid w:val="00FB008C"/>
    <w:rsid w:val="00FB00F0"/>
    <w:rsid w:val="00FB0E9B"/>
    <w:rsid w:val="00FB1542"/>
    <w:rsid w:val="00FB26FF"/>
    <w:rsid w:val="00FB3A91"/>
    <w:rsid w:val="00FB450E"/>
    <w:rsid w:val="00FB71D8"/>
    <w:rsid w:val="00FB7556"/>
    <w:rsid w:val="00FC3391"/>
    <w:rsid w:val="00FC432C"/>
    <w:rsid w:val="00FC4D5A"/>
    <w:rsid w:val="00FC65F4"/>
    <w:rsid w:val="00FD1307"/>
    <w:rsid w:val="00FD21C4"/>
    <w:rsid w:val="00FD2379"/>
    <w:rsid w:val="00FD30EA"/>
    <w:rsid w:val="00FD332C"/>
    <w:rsid w:val="00FD3CC4"/>
    <w:rsid w:val="00FD4019"/>
    <w:rsid w:val="00FD60AA"/>
    <w:rsid w:val="00FD60CD"/>
    <w:rsid w:val="00FE03D0"/>
    <w:rsid w:val="00FE090F"/>
    <w:rsid w:val="00FE270E"/>
    <w:rsid w:val="00FE2767"/>
    <w:rsid w:val="00FE39C0"/>
    <w:rsid w:val="00FE576B"/>
    <w:rsid w:val="00FE5A59"/>
    <w:rsid w:val="00FE6148"/>
    <w:rsid w:val="00FE6944"/>
    <w:rsid w:val="00FF0115"/>
    <w:rsid w:val="00FF4071"/>
    <w:rsid w:val="00FF5F2F"/>
    <w:rsid w:val="00FF5F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720DC"/>
  <w15:docId w15:val="{E40FDC6F-2BC4-4FDB-86C5-62F669FB0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26F4B"/>
    <w:pPr>
      <w:suppressAutoHyphens/>
      <w:autoSpaceDN w:val="0"/>
      <w:spacing w:after="0" w:line="240" w:lineRule="auto"/>
      <w:textAlignment w:val="baseline"/>
    </w:pPr>
    <w:rPr>
      <w:rFonts w:ascii="Calibri" w:eastAsia="Calibri" w:hAnsi="Calibri" w:cs="Times New Roman"/>
    </w:rPr>
  </w:style>
  <w:style w:type="paragraph" w:styleId="Heading3">
    <w:name w:val="heading 3"/>
    <w:basedOn w:val="Normal"/>
    <w:next w:val="Normal"/>
    <w:link w:val="Heading3Char"/>
    <w:uiPriority w:val="9"/>
    <w:unhideWhenUsed/>
    <w:qFormat/>
    <w:rsid w:val="00161F2F"/>
    <w:pPr>
      <w:keepNext/>
      <w:keepLines/>
      <w:suppressAutoHyphens w:val="0"/>
      <w:autoSpaceDN/>
      <w:spacing w:before="40" w:line="259" w:lineRule="auto"/>
      <w:textAlignment w:val="auto"/>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304F77"/>
    <w:pPr>
      <w:keepNext/>
      <w:keepLines/>
      <w:suppressAutoHyphens w:val="0"/>
      <w:autoSpaceDN/>
      <w:spacing w:before="40" w:line="259" w:lineRule="auto"/>
      <w:textAlignment w:val="auto"/>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B03FF"/>
    <w:pPr>
      <w:spacing w:after="0" w:line="240" w:lineRule="auto"/>
    </w:pPr>
  </w:style>
  <w:style w:type="paragraph" w:styleId="BalloonText">
    <w:name w:val="Balloon Text"/>
    <w:basedOn w:val="Normal"/>
    <w:link w:val="BalloonTextChar"/>
    <w:uiPriority w:val="99"/>
    <w:semiHidden/>
    <w:unhideWhenUsed/>
    <w:rsid w:val="004A139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139B"/>
    <w:rPr>
      <w:rFonts w:ascii="Segoe UI" w:eastAsia="Calibri" w:hAnsi="Segoe UI" w:cs="Segoe UI"/>
      <w:sz w:val="18"/>
      <w:szCs w:val="18"/>
    </w:rPr>
  </w:style>
  <w:style w:type="table" w:styleId="TableGrid">
    <w:name w:val="Table Grid"/>
    <w:basedOn w:val="TableNormal"/>
    <w:uiPriority w:val="59"/>
    <w:rsid w:val="00A271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86C9E"/>
    <w:pPr>
      <w:suppressAutoHyphens w:val="0"/>
      <w:autoSpaceDN/>
      <w:spacing w:after="160" w:line="259" w:lineRule="auto"/>
      <w:ind w:left="720"/>
      <w:contextualSpacing/>
      <w:textAlignment w:val="auto"/>
    </w:pPr>
    <w:rPr>
      <w:rFonts w:asciiTheme="minorHAnsi" w:eastAsiaTheme="minorHAnsi" w:hAnsiTheme="minorHAnsi" w:cstheme="minorBidi"/>
    </w:rPr>
  </w:style>
  <w:style w:type="character" w:customStyle="1" w:styleId="Heading3Char">
    <w:name w:val="Heading 3 Char"/>
    <w:basedOn w:val="DefaultParagraphFont"/>
    <w:link w:val="Heading3"/>
    <w:uiPriority w:val="9"/>
    <w:rsid w:val="00161F2F"/>
    <w:rPr>
      <w:rFonts w:asciiTheme="majorHAnsi" w:eastAsiaTheme="majorEastAsia" w:hAnsiTheme="majorHAnsi" w:cstheme="majorBidi"/>
      <w:color w:val="243F60" w:themeColor="accent1" w:themeShade="7F"/>
      <w:sz w:val="24"/>
      <w:szCs w:val="24"/>
    </w:rPr>
  </w:style>
  <w:style w:type="paragraph" w:styleId="FootnoteText">
    <w:name w:val="footnote text"/>
    <w:basedOn w:val="Normal"/>
    <w:link w:val="FootnoteTextChar"/>
    <w:uiPriority w:val="99"/>
    <w:unhideWhenUsed/>
    <w:rsid w:val="007F3C4E"/>
    <w:pPr>
      <w:suppressAutoHyphens w:val="0"/>
      <w:autoSpaceDN/>
      <w:textAlignment w:val="auto"/>
    </w:pPr>
    <w:rPr>
      <w:rFonts w:ascii="Arial" w:eastAsiaTheme="minorHAnsi" w:hAnsi="Arial" w:cs="Arial"/>
      <w:sz w:val="20"/>
      <w:szCs w:val="20"/>
    </w:rPr>
  </w:style>
  <w:style w:type="character" w:customStyle="1" w:styleId="FootnoteTextChar">
    <w:name w:val="Footnote Text Char"/>
    <w:basedOn w:val="DefaultParagraphFont"/>
    <w:link w:val="FootnoteText"/>
    <w:uiPriority w:val="99"/>
    <w:rsid w:val="007F3C4E"/>
    <w:rPr>
      <w:rFonts w:ascii="Arial" w:hAnsi="Arial" w:cs="Arial"/>
      <w:sz w:val="20"/>
      <w:szCs w:val="20"/>
    </w:rPr>
  </w:style>
  <w:style w:type="character" w:styleId="FootnoteReference">
    <w:name w:val="footnote reference"/>
    <w:basedOn w:val="DefaultParagraphFont"/>
    <w:uiPriority w:val="99"/>
    <w:semiHidden/>
    <w:unhideWhenUsed/>
    <w:rsid w:val="007F3C4E"/>
    <w:rPr>
      <w:vertAlign w:val="superscript"/>
    </w:rPr>
  </w:style>
  <w:style w:type="paragraph" w:styleId="NormalWeb">
    <w:name w:val="Normal (Web)"/>
    <w:basedOn w:val="Normal"/>
    <w:uiPriority w:val="99"/>
    <w:unhideWhenUsed/>
    <w:rsid w:val="00C54738"/>
    <w:pPr>
      <w:suppressAutoHyphens w:val="0"/>
      <w:autoSpaceDN/>
      <w:textAlignment w:val="auto"/>
    </w:pPr>
    <w:rPr>
      <w:rFonts w:eastAsiaTheme="minorHAnsi" w:cs="Calibri"/>
      <w:lang w:eastAsia="en-GB"/>
    </w:rPr>
  </w:style>
  <w:style w:type="character" w:customStyle="1" w:styleId="Heading4Char">
    <w:name w:val="Heading 4 Char"/>
    <w:basedOn w:val="DefaultParagraphFont"/>
    <w:link w:val="Heading4"/>
    <w:uiPriority w:val="9"/>
    <w:rsid w:val="00304F77"/>
    <w:rPr>
      <w:rFonts w:asciiTheme="majorHAnsi" w:eastAsiaTheme="majorEastAsia" w:hAnsiTheme="majorHAnsi" w:cstheme="majorBidi"/>
      <w:i/>
      <w:iCs/>
      <w:color w:val="365F91" w:themeColor="accent1" w:themeShade="BF"/>
    </w:rPr>
  </w:style>
  <w:style w:type="paragraph" w:styleId="PlainText">
    <w:name w:val="Plain Text"/>
    <w:basedOn w:val="Normal"/>
    <w:link w:val="PlainTextChar"/>
    <w:uiPriority w:val="99"/>
    <w:unhideWhenUsed/>
    <w:rsid w:val="00D8645F"/>
    <w:pPr>
      <w:suppressAutoHyphens w:val="0"/>
      <w:autoSpaceDN/>
      <w:textAlignment w:val="auto"/>
    </w:pPr>
    <w:rPr>
      <w:rFonts w:eastAsia="Times New Roman"/>
      <w:szCs w:val="21"/>
    </w:rPr>
  </w:style>
  <w:style w:type="character" w:customStyle="1" w:styleId="PlainTextChar">
    <w:name w:val="Plain Text Char"/>
    <w:basedOn w:val="DefaultParagraphFont"/>
    <w:link w:val="PlainText"/>
    <w:uiPriority w:val="99"/>
    <w:rsid w:val="00D8645F"/>
    <w:rPr>
      <w:rFonts w:ascii="Calibri" w:eastAsia="Times New Roman" w:hAnsi="Calibri" w:cs="Times New Roman"/>
      <w:szCs w:val="21"/>
    </w:rPr>
  </w:style>
  <w:style w:type="paragraph" w:customStyle="1" w:styleId="xmsoplaintext">
    <w:name w:val="x_msoplaintext"/>
    <w:basedOn w:val="Normal"/>
    <w:uiPriority w:val="99"/>
    <w:rsid w:val="00C56348"/>
    <w:pPr>
      <w:suppressAutoHyphens w:val="0"/>
      <w:autoSpaceDN/>
      <w:textAlignment w:val="auto"/>
    </w:pPr>
    <w:rPr>
      <w:rFonts w:eastAsiaTheme="minorHAns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966844">
      <w:bodyDiv w:val="1"/>
      <w:marLeft w:val="0"/>
      <w:marRight w:val="0"/>
      <w:marTop w:val="0"/>
      <w:marBottom w:val="0"/>
      <w:divBdr>
        <w:top w:val="none" w:sz="0" w:space="0" w:color="auto"/>
        <w:left w:val="none" w:sz="0" w:space="0" w:color="auto"/>
        <w:bottom w:val="none" w:sz="0" w:space="0" w:color="auto"/>
        <w:right w:val="none" w:sz="0" w:space="0" w:color="auto"/>
      </w:divBdr>
    </w:div>
    <w:div w:id="399644483">
      <w:bodyDiv w:val="1"/>
      <w:marLeft w:val="0"/>
      <w:marRight w:val="0"/>
      <w:marTop w:val="0"/>
      <w:marBottom w:val="0"/>
      <w:divBdr>
        <w:top w:val="none" w:sz="0" w:space="0" w:color="auto"/>
        <w:left w:val="none" w:sz="0" w:space="0" w:color="auto"/>
        <w:bottom w:val="none" w:sz="0" w:space="0" w:color="auto"/>
        <w:right w:val="none" w:sz="0" w:space="0" w:color="auto"/>
      </w:divBdr>
    </w:div>
    <w:div w:id="484979941">
      <w:bodyDiv w:val="1"/>
      <w:marLeft w:val="0"/>
      <w:marRight w:val="0"/>
      <w:marTop w:val="0"/>
      <w:marBottom w:val="0"/>
      <w:divBdr>
        <w:top w:val="none" w:sz="0" w:space="0" w:color="auto"/>
        <w:left w:val="none" w:sz="0" w:space="0" w:color="auto"/>
        <w:bottom w:val="none" w:sz="0" w:space="0" w:color="auto"/>
        <w:right w:val="none" w:sz="0" w:space="0" w:color="auto"/>
      </w:divBdr>
    </w:div>
    <w:div w:id="508907670">
      <w:bodyDiv w:val="1"/>
      <w:marLeft w:val="0"/>
      <w:marRight w:val="0"/>
      <w:marTop w:val="0"/>
      <w:marBottom w:val="0"/>
      <w:divBdr>
        <w:top w:val="none" w:sz="0" w:space="0" w:color="auto"/>
        <w:left w:val="none" w:sz="0" w:space="0" w:color="auto"/>
        <w:bottom w:val="none" w:sz="0" w:space="0" w:color="auto"/>
        <w:right w:val="none" w:sz="0" w:space="0" w:color="auto"/>
      </w:divBdr>
    </w:div>
    <w:div w:id="552429037">
      <w:bodyDiv w:val="1"/>
      <w:marLeft w:val="0"/>
      <w:marRight w:val="0"/>
      <w:marTop w:val="0"/>
      <w:marBottom w:val="0"/>
      <w:divBdr>
        <w:top w:val="none" w:sz="0" w:space="0" w:color="auto"/>
        <w:left w:val="none" w:sz="0" w:space="0" w:color="auto"/>
        <w:bottom w:val="none" w:sz="0" w:space="0" w:color="auto"/>
        <w:right w:val="none" w:sz="0" w:space="0" w:color="auto"/>
      </w:divBdr>
    </w:div>
    <w:div w:id="626860182">
      <w:bodyDiv w:val="1"/>
      <w:marLeft w:val="0"/>
      <w:marRight w:val="0"/>
      <w:marTop w:val="0"/>
      <w:marBottom w:val="0"/>
      <w:divBdr>
        <w:top w:val="none" w:sz="0" w:space="0" w:color="auto"/>
        <w:left w:val="none" w:sz="0" w:space="0" w:color="auto"/>
        <w:bottom w:val="none" w:sz="0" w:space="0" w:color="auto"/>
        <w:right w:val="none" w:sz="0" w:space="0" w:color="auto"/>
      </w:divBdr>
    </w:div>
    <w:div w:id="653071138">
      <w:bodyDiv w:val="1"/>
      <w:marLeft w:val="0"/>
      <w:marRight w:val="0"/>
      <w:marTop w:val="0"/>
      <w:marBottom w:val="0"/>
      <w:divBdr>
        <w:top w:val="none" w:sz="0" w:space="0" w:color="auto"/>
        <w:left w:val="none" w:sz="0" w:space="0" w:color="auto"/>
        <w:bottom w:val="none" w:sz="0" w:space="0" w:color="auto"/>
        <w:right w:val="none" w:sz="0" w:space="0" w:color="auto"/>
      </w:divBdr>
    </w:div>
    <w:div w:id="722100343">
      <w:bodyDiv w:val="1"/>
      <w:marLeft w:val="0"/>
      <w:marRight w:val="0"/>
      <w:marTop w:val="0"/>
      <w:marBottom w:val="0"/>
      <w:divBdr>
        <w:top w:val="none" w:sz="0" w:space="0" w:color="auto"/>
        <w:left w:val="none" w:sz="0" w:space="0" w:color="auto"/>
        <w:bottom w:val="none" w:sz="0" w:space="0" w:color="auto"/>
        <w:right w:val="none" w:sz="0" w:space="0" w:color="auto"/>
      </w:divBdr>
    </w:div>
    <w:div w:id="767040989">
      <w:bodyDiv w:val="1"/>
      <w:marLeft w:val="0"/>
      <w:marRight w:val="0"/>
      <w:marTop w:val="0"/>
      <w:marBottom w:val="0"/>
      <w:divBdr>
        <w:top w:val="none" w:sz="0" w:space="0" w:color="auto"/>
        <w:left w:val="none" w:sz="0" w:space="0" w:color="auto"/>
        <w:bottom w:val="none" w:sz="0" w:space="0" w:color="auto"/>
        <w:right w:val="none" w:sz="0" w:space="0" w:color="auto"/>
      </w:divBdr>
    </w:div>
    <w:div w:id="789544097">
      <w:bodyDiv w:val="1"/>
      <w:marLeft w:val="0"/>
      <w:marRight w:val="0"/>
      <w:marTop w:val="0"/>
      <w:marBottom w:val="0"/>
      <w:divBdr>
        <w:top w:val="none" w:sz="0" w:space="0" w:color="auto"/>
        <w:left w:val="none" w:sz="0" w:space="0" w:color="auto"/>
        <w:bottom w:val="none" w:sz="0" w:space="0" w:color="auto"/>
        <w:right w:val="none" w:sz="0" w:space="0" w:color="auto"/>
      </w:divBdr>
    </w:div>
    <w:div w:id="850294615">
      <w:bodyDiv w:val="1"/>
      <w:marLeft w:val="0"/>
      <w:marRight w:val="0"/>
      <w:marTop w:val="0"/>
      <w:marBottom w:val="0"/>
      <w:divBdr>
        <w:top w:val="none" w:sz="0" w:space="0" w:color="auto"/>
        <w:left w:val="none" w:sz="0" w:space="0" w:color="auto"/>
        <w:bottom w:val="none" w:sz="0" w:space="0" w:color="auto"/>
        <w:right w:val="none" w:sz="0" w:space="0" w:color="auto"/>
      </w:divBdr>
    </w:div>
    <w:div w:id="1117064226">
      <w:bodyDiv w:val="1"/>
      <w:marLeft w:val="0"/>
      <w:marRight w:val="0"/>
      <w:marTop w:val="0"/>
      <w:marBottom w:val="0"/>
      <w:divBdr>
        <w:top w:val="none" w:sz="0" w:space="0" w:color="auto"/>
        <w:left w:val="none" w:sz="0" w:space="0" w:color="auto"/>
        <w:bottom w:val="none" w:sz="0" w:space="0" w:color="auto"/>
        <w:right w:val="none" w:sz="0" w:space="0" w:color="auto"/>
      </w:divBdr>
    </w:div>
    <w:div w:id="1382482067">
      <w:bodyDiv w:val="1"/>
      <w:marLeft w:val="0"/>
      <w:marRight w:val="0"/>
      <w:marTop w:val="0"/>
      <w:marBottom w:val="0"/>
      <w:divBdr>
        <w:top w:val="none" w:sz="0" w:space="0" w:color="auto"/>
        <w:left w:val="none" w:sz="0" w:space="0" w:color="auto"/>
        <w:bottom w:val="none" w:sz="0" w:space="0" w:color="auto"/>
        <w:right w:val="none" w:sz="0" w:space="0" w:color="auto"/>
      </w:divBdr>
    </w:div>
    <w:div w:id="1457604911">
      <w:bodyDiv w:val="1"/>
      <w:marLeft w:val="0"/>
      <w:marRight w:val="0"/>
      <w:marTop w:val="0"/>
      <w:marBottom w:val="0"/>
      <w:divBdr>
        <w:top w:val="none" w:sz="0" w:space="0" w:color="auto"/>
        <w:left w:val="none" w:sz="0" w:space="0" w:color="auto"/>
        <w:bottom w:val="none" w:sz="0" w:space="0" w:color="auto"/>
        <w:right w:val="none" w:sz="0" w:space="0" w:color="auto"/>
      </w:divBdr>
    </w:div>
    <w:div w:id="1940793012">
      <w:bodyDiv w:val="1"/>
      <w:marLeft w:val="0"/>
      <w:marRight w:val="0"/>
      <w:marTop w:val="0"/>
      <w:marBottom w:val="0"/>
      <w:divBdr>
        <w:top w:val="none" w:sz="0" w:space="0" w:color="auto"/>
        <w:left w:val="none" w:sz="0" w:space="0" w:color="auto"/>
        <w:bottom w:val="none" w:sz="0" w:space="0" w:color="auto"/>
        <w:right w:val="none" w:sz="0" w:space="0" w:color="auto"/>
      </w:divBdr>
    </w:div>
    <w:div w:id="2116123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A51F19-A56C-49EF-96D8-4C8E6B07F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2678</TotalTime>
  <Pages>10</Pages>
  <Words>2679</Words>
  <Characters>15276</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MISD, University of Cambridge</Company>
  <LinksUpToDate>false</LinksUpToDate>
  <CharactersWithSpaces>17920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Smith</dc:creator>
  <cp:lastModifiedBy>Robert</cp:lastModifiedBy>
  <cp:revision>836</cp:revision>
  <cp:lastPrinted>2018-03-06T12:24:00Z</cp:lastPrinted>
  <dcterms:created xsi:type="dcterms:W3CDTF">2018-11-09T16:39:00Z</dcterms:created>
  <dcterms:modified xsi:type="dcterms:W3CDTF">2020-06-05T16:15:00Z</dcterms:modified>
</cp:coreProperties>
</file>