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BF04" w14:textId="4ADCD844" w:rsidR="00626F4B" w:rsidRDefault="00626F4B" w:rsidP="00626F4B">
      <w:pPr>
        <w:jc w:val="center"/>
        <w:rPr>
          <w:rFonts w:ascii="Verdana" w:hAnsi="Verdana"/>
          <w:b/>
        </w:rPr>
      </w:pPr>
      <w:r>
        <w:rPr>
          <w:rFonts w:ascii="Verdana" w:hAnsi="Verdana"/>
          <w:b/>
        </w:rPr>
        <w:t>CORPORATION OF SIR GEORGE MONOUX COLLEGE</w:t>
      </w:r>
    </w:p>
    <w:p w14:paraId="27E5AECF" w14:textId="77777777" w:rsidR="00626F4B" w:rsidRDefault="00626F4B" w:rsidP="00626F4B">
      <w:pPr>
        <w:jc w:val="center"/>
        <w:rPr>
          <w:rFonts w:ascii="Verdana" w:hAnsi="Verdana"/>
          <w:b/>
        </w:rPr>
      </w:pPr>
    </w:p>
    <w:p w14:paraId="4647AB39" w14:textId="77777777" w:rsidR="00CD65F2" w:rsidRDefault="00626F4B" w:rsidP="004D37CF">
      <w:pPr>
        <w:jc w:val="center"/>
        <w:rPr>
          <w:rFonts w:ascii="Verdana" w:hAnsi="Verdana"/>
          <w:b/>
        </w:rPr>
      </w:pPr>
      <w:r>
        <w:rPr>
          <w:rFonts w:ascii="Verdana" w:hAnsi="Verdana"/>
          <w:b/>
        </w:rPr>
        <w:t xml:space="preserve">Minutes of the Meeting of the </w:t>
      </w:r>
      <w:r w:rsidR="00AA7B4E">
        <w:rPr>
          <w:rFonts w:ascii="Verdana" w:hAnsi="Verdana"/>
          <w:b/>
        </w:rPr>
        <w:t>External Relations</w:t>
      </w:r>
      <w:r>
        <w:rPr>
          <w:rFonts w:ascii="Verdana" w:hAnsi="Verdana"/>
          <w:b/>
        </w:rPr>
        <w:t xml:space="preserve"> Committee </w:t>
      </w:r>
    </w:p>
    <w:p w14:paraId="2E803062" w14:textId="4119461C" w:rsidR="00626F4B" w:rsidRDefault="00626F4B" w:rsidP="00CD65F2">
      <w:pPr>
        <w:jc w:val="center"/>
        <w:rPr>
          <w:rFonts w:ascii="Verdana" w:hAnsi="Verdana"/>
          <w:b/>
        </w:rPr>
      </w:pPr>
      <w:r>
        <w:rPr>
          <w:rFonts w:ascii="Verdana" w:hAnsi="Verdana"/>
          <w:b/>
        </w:rPr>
        <w:t xml:space="preserve">held on </w:t>
      </w:r>
      <w:r w:rsidR="00B425CD">
        <w:rPr>
          <w:rFonts w:ascii="Verdana" w:hAnsi="Verdana"/>
          <w:b/>
        </w:rPr>
        <w:t>1</w:t>
      </w:r>
      <w:r w:rsidR="00EB3396">
        <w:rPr>
          <w:rFonts w:ascii="Verdana" w:hAnsi="Verdana"/>
          <w:b/>
        </w:rPr>
        <w:t>9</w:t>
      </w:r>
      <w:r w:rsidR="00B425CD">
        <w:rPr>
          <w:rFonts w:ascii="Verdana" w:hAnsi="Verdana"/>
          <w:b/>
        </w:rPr>
        <w:t xml:space="preserve"> October</w:t>
      </w:r>
      <w:r w:rsidR="00F454D9">
        <w:rPr>
          <w:rFonts w:ascii="Verdana" w:hAnsi="Verdana"/>
          <w:b/>
        </w:rPr>
        <w:t xml:space="preserve"> 2020</w:t>
      </w:r>
      <w:r w:rsidR="00FF347E">
        <w:rPr>
          <w:rFonts w:ascii="Verdana" w:hAnsi="Verdana"/>
          <w:b/>
        </w:rPr>
        <w:t xml:space="preserve">, and List of Actions </w:t>
      </w:r>
      <w:r w:rsidR="00995B35">
        <w:rPr>
          <w:rFonts w:ascii="Verdana" w:hAnsi="Verdana"/>
          <w:b/>
        </w:rPr>
        <w:t>a</w:t>
      </w:r>
      <w:r w:rsidR="00FF347E">
        <w:rPr>
          <w:rFonts w:ascii="Verdana" w:hAnsi="Verdana"/>
          <w:b/>
        </w:rPr>
        <w:t xml:space="preserve">rising </w:t>
      </w:r>
      <w:r w:rsidR="00995B35">
        <w:rPr>
          <w:rFonts w:ascii="Verdana" w:hAnsi="Verdana"/>
          <w:b/>
        </w:rPr>
        <w:t>t</w:t>
      </w:r>
      <w:r w:rsidR="00FF347E">
        <w:rPr>
          <w:rFonts w:ascii="Verdana" w:hAnsi="Verdana"/>
          <w:b/>
        </w:rPr>
        <w:t>herefrom</w:t>
      </w:r>
    </w:p>
    <w:p w14:paraId="524FC9FB" w14:textId="77777777" w:rsidR="00F454D9" w:rsidRDefault="00F454D9" w:rsidP="00626F4B">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2376"/>
        <w:gridCol w:w="7088"/>
      </w:tblGrid>
      <w:tr w:rsidR="00626F4B" w14:paraId="3029CBF4" w14:textId="77777777" w:rsidTr="00876574">
        <w:tc>
          <w:tcPr>
            <w:tcW w:w="2376" w:type="dxa"/>
            <w:shd w:val="clear" w:color="auto" w:fill="auto"/>
            <w:tcMar>
              <w:top w:w="0" w:type="dxa"/>
              <w:left w:w="108" w:type="dxa"/>
              <w:bottom w:w="0" w:type="dxa"/>
              <w:right w:w="108" w:type="dxa"/>
            </w:tcMar>
          </w:tcPr>
          <w:p w14:paraId="06CCE836" w14:textId="77777777" w:rsidR="00626F4B" w:rsidRDefault="00626F4B" w:rsidP="005363B3">
            <w:pPr>
              <w:tabs>
                <w:tab w:val="left" w:pos="1455"/>
              </w:tabs>
              <w:rPr>
                <w:rFonts w:ascii="Verdana" w:hAnsi="Verdana"/>
                <w:b/>
              </w:rPr>
            </w:pPr>
            <w:r>
              <w:rPr>
                <w:rFonts w:ascii="Verdana" w:hAnsi="Verdana"/>
                <w:b/>
              </w:rPr>
              <w:t>Present</w:t>
            </w:r>
            <w:r>
              <w:rPr>
                <w:rFonts w:ascii="Verdana" w:hAnsi="Verdana"/>
                <w:b/>
              </w:rPr>
              <w:tab/>
            </w:r>
          </w:p>
          <w:p w14:paraId="7DF51377" w14:textId="77777777" w:rsidR="00626F4B" w:rsidRDefault="00626F4B" w:rsidP="005363B3">
            <w:pPr>
              <w:rPr>
                <w:rFonts w:ascii="Verdana" w:hAnsi="Verdana"/>
                <w:b/>
              </w:rPr>
            </w:pPr>
          </w:p>
        </w:tc>
        <w:tc>
          <w:tcPr>
            <w:tcW w:w="7088" w:type="dxa"/>
            <w:shd w:val="clear" w:color="auto" w:fill="auto"/>
            <w:tcMar>
              <w:top w:w="0" w:type="dxa"/>
              <w:left w:w="108" w:type="dxa"/>
              <w:bottom w:w="0" w:type="dxa"/>
              <w:right w:w="108" w:type="dxa"/>
            </w:tcMar>
          </w:tcPr>
          <w:p w14:paraId="3DF8B0BF" w14:textId="3D51DCD6" w:rsidR="00626F4B" w:rsidRPr="00543365" w:rsidRDefault="00532D61" w:rsidP="005363B3">
            <w:pPr>
              <w:rPr>
                <w:rFonts w:ascii="Verdana" w:hAnsi="Verdana"/>
              </w:rPr>
            </w:pPr>
            <w:r w:rsidRPr="00543365">
              <w:rPr>
                <w:rFonts w:ascii="Verdana" w:hAnsi="Verdana"/>
              </w:rPr>
              <w:t>Stewart Maclean</w:t>
            </w:r>
            <w:r w:rsidR="00626F4B" w:rsidRPr="00543365">
              <w:rPr>
                <w:rFonts w:ascii="Verdana" w:hAnsi="Verdana"/>
              </w:rPr>
              <w:t xml:space="preserve"> (Chair), </w:t>
            </w:r>
            <w:r w:rsidR="00416D54" w:rsidRPr="00543365">
              <w:rPr>
                <w:rFonts w:ascii="Verdana" w:hAnsi="Verdana"/>
              </w:rPr>
              <w:t xml:space="preserve">Talia Chirouf, </w:t>
            </w:r>
            <w:r w:rsidR="008345F2" w:rsidRPr="00543365">
              <w:rPr>
                <w:rFonts w:ascii="Verdana" w:hAnsi="Verdana"/>
              </w:rPr>
              <w:t xml:space="preserve">Tom </w:t>
            </w:r>
            <w:proofErr w:type="spellStart"/>
            <w:r w:rsidR="008345F2" w:rsidRPr="00543365">
              <w:rPr>
                <w:rFonts w:ascii="Verdana" w:hAnsi="Verdana"/>
              </w:rPr>
              <w:t>Foakes</w:t>
            </w:r>
            <w:proofErr w:type="spellEnd"/>
            <w:r w:rsidR="008345F2" w:rsidRPr="00543365">
              <w:rPr>
                <w:rFonts w:ascii="Verdana" w:hAnsi="Verdana"/>
              </w:rPr>
              <w:t xml:space="preserve">, </w:t>
            </w:r>
            <w:r w:rsidR="002E7806">
              <w:rPr>
                <w:rFonts w:ascii="Verdana" w:hAnsi="Verdana"/>
              </w:rPr>
              <w:t xml:space="preserve">Farhana Juhera, </w:t>
            </w:r>
            <w:r w:rsidR="00E0491F" w:rsidRPr="00543365">
              <w:rPr>
                <w:rFonts w:ascii="Verdana" w:hAnsi="Verdana"/>
              </w:rPr>
              <w:t>Maurine Lewin</w:t>
            </w:r>
            <w:r w:rsidR="00CA2B47">
              <w:rPr>
                <w:rFonts w:ascii="Verdana" w:hAnsi="Verdana"/>
              </w:rPr>
              <w:t xml:space="preserve"> (agenda 1-10)</w:t>
            </w:r>
            <w:r w:rsidR="00E0491F" w:rsidRPr="00543365">
              <w:rPr>
                <w:rFonts w:ascii="Verdana" w:hAnsi="Verdana"/>
              </w:rPr>
              <w:t>, Dav</w:t>
            </w:r>
            <w:r w:rsidR="00AB1F20" w:rsidRPr="00543365">
              <w:rPr>
                <w:rFonts w:ascii="Verdana" w:hAnsi="Verdana"/>
              </w:rPr>
              <w:t xml:space="preserve">id </w:t>
            </w:r>
            <w:proofErr w:type="spellStart"/>
            <w:r w:rsidR="00AB1F20" w:rsidRPr="00543365">
              <w:rPr>
                <w:rFonts w:ascii="Verdana" w:hAnsi="Verdana"/>
              </w:rPr>
              <w:t>Vasse</w:t>
            </w:r>
            <w:proofErr w:type="spellEnd"/>
            <w:r w:rsidR="00B425CD">
              <w:rPr>
                <w:rFonts w:ascii="Verdana" w:hAnsi="Verdana"/>
              </w:rPr>
              <w:t>, Sara Whittaker</w:t>
            </w:r>
            <w:r w:rsidR="00CA2B47">
              <w:rPr>
                <w:rFonts w:ascii="Verdana" w:hAnsi="Verdana"/>
              </w:rPr>
              <w:t xml:space="preserve"> (agenda 5-13)</w:t>
            </w:r>
            <w:r w:rsidR="00626F4B" w:rsidRPr="00543365">
              <w:rPr>
                <w:rFonts w:ascii="Verdana" w:hAnsi="Verdana"/>
              </w:rPr>
              <w:t xml:space="preserve">. </w:t>
            </w:r>
          </w:p>
          <w:p w14:paraId="08A15440" w14:textId="77777777" w:rsidR="00626F4B" w:rsidRDefault="00626F4B" w:rsidP="005363B3">
            <w:pPr>
              <w:rPr>
                <w:rFonts w:ascii="Verdana" w:hAnsi="Verdana"/>
              </w:rPr>
            </w:pPr>
          </w:p>
        </w:tc>
      </w:tr>
      <w:tr w:rsidR="00626F4B" w14:paraId="11C5FDBC" w14:textId="77777777" w:rsidTr="00876574">
        <w:tc>
          <w:tcPr>
            <w:tcW w:w="2376" w:type="dxa"/>
            <w:shd w:val="clear" w:color="auto" w:fill="auto"/>
            <w:tcMar>
              <w:top w:w="0" w:type="dxa"/>
              <w:left w:w="108" w:type="dxa"/>
              <w:bottom w:w="0" w:type="dxa"/>
              <w:right w:w="108" w:type="dxa"/>
            </w:tcMar>
          </w:tcPr>
          <w:p w14:paraId="4E822C07" w14:textId="2D55B9DB" w:rsidR="00626F4B" w:rsidRDefault="00413682" w:rsidP="005363B3">
            <w:pPr>
              <w:rPr>
                <w:rFonts w:ascii="Verdana" w:hAnsi="Verdana"/>
                <w:b/>
              </w:rPr>
            </w:pPr>
            <w:r>
              <w:rPr>
                <w:rFonts w:ascii="Verdana" w:hAnsi="Verdana"/>
                <w:b/>
              </w:rPr>
              <w:t>In Attendance</w:t>
            </w:r>
          </w:p>
        </w:tc>
        <w:tc>
          <w:tcPr>
            <w:tcW w:w="7088" w:type="dxa"/>
            <w:shd w:val="clear" w:color="auto" w:fill="auto"/>
            <w:tcMar>
              <w:top w:w="0" w:type="dxa"/>
              <w:left w:w="108" w:type="dxa"/>
              <w:bottom w:w="0" w:type="dxa"/>
              <w:right w:w="108" w:type="dxa"/>
            </w:tcMar>
          </w:tcPr>
          <w:p w14:paraId="72DFE0F5" w14:textId="5D98E3EA" w:rsidR="00626F4B" w:rsidRDefault="008C2D18" w:rsidP="005363B3">
            <w:pPr>
              <w:rPr>
                <w:rFonts w:ascii="Verdana" w:hAnsi="Verdana"/>
              </w:rPr>
            </w:pPr>
            <w:r>
              <w:rPr>
                <w:rFonts w:ascii="Verdana" w:hAnsi="Verdana"/>
              </w:rPr>
              <w:t>James Gould (Vice</w:t>
            </w:r>
            <w:r w:rsidR="00651D04">
              <w:rPr>
                <w:rFonts w:ascii="Verdana" w:hAnsi="Verdana"/>
              </w:rPr>
              <w:t>-</w:t>
            </w:r>
            <w:r>
              <w:rPr>
                <w:rFonts w:ascii="Verdana" w:hAnsi="Verdana"/>
              </w:rPr>
              <w:t xml:space="preserve">Principal: </w:t>
            </w:r>
            <w:r w:rsidRPr="00FE7EDC">
              <w:rPr>
                <w:rFonts w:ascii="Verdana" w:hAnsi="Verdana"/>
              </w:rPr>
              <w:t>Student S</w:t>
            </w:r>
            <w:r>
              <w:rPr>
                <w:rFonts w:ascii="Verdana" w:hAnsi="Verdana"/>
              </w:rPr>
              <w:t>ervices and Recruitment</w:t>
            </w:r>
            <w:r w:rsidR="00626F4B">
              <w:rPr>
                <w:rFonts w:ascii="Verdana" w:hAnsi="Verdana"/>
              </w:rPr>
              <w:t>)</w:t>
            </w:r>
            <w:r w:rsidR="00953ACF">
              <w:rPr>
                <w:rFonts w:ascii="Verdana" w:hAnsi="Verdana"/>
              </w:rPr>
              <w:t>, Robert Smith (Clerk to the Corporation)</w:t>
            </w:r>
            <w:r w:rsidR="00B425CD">
              <w:rPr>
                <w:rFonts w:ascii="Verdana" w:hAnsi="Verdana"/>
              </w:rPr>
              <w:t>, Alan Wells (Chair of the Corporation)</w:t>
            </w:r>
            <w:r w:rsidR="00953ACF">
              <w:rPr>
                <w:rFonts w:ascii="Verdana" w:hAnsi="Verdana"/>
              </w:rPr>
              <w:t>.</w:t>
            </w:r>
          </w:p>
        </w:tc>
      </w:tr>
    </w:tbl>
    <w:p w14:paraId="73A3C9F8" w14:textId="77777777" w:rsidR="00626F4B" w:rsidRDefault="00626F4B" w:rsidP="00626F4B">
      <w:pPr>
        <w:rPr>
          <w:rFonts w:ascii="Verdana" w:hAnsi="Verdana"/>
          <w:b/>
        </w:rPr>
      </w:pPr>
    </w:p>
    <w:tbl>
      <w:tblPr>
        <w:tblW w:w="9464" w:type="dxa"/>
        <w:tblCellMar>
          <w:left w:w="10" w:type="dxa"/>
          <w:right w:w="10" w:type="dxa"/>
        </w:tblCellMar>
        <w:tblLook w:val="0000" w:firstRow="0" w:lastRow="0" w:firstColumn="0" w:lastColumn="0" w:noHBand="0" w:noVBand="0"/>
      </w:tblPr>
      <w:tblGrid>
        <w:gridCol w:w="529"/>
        <w:gridCol w:w="8935"/>
      </w:tblGrid>
      <w:tr w:rsidR="00626F4B" w14:paraId="64A738ED" w14:textId="77777777" w:rsidTr="00876574">
        <w:tc>
          <w:tcPr>
            <w:tcW w:w="529" w:type="dxa"/>
            <w:shd w:val="clear" w:color="auto" w:fill="auto"/>
            <w:tcMar>
              <w:top w:w="0" w:type="dxa"/>
              <w:left w:w="108" w:type="dxa"/>
              <w:bottom w:w="0" w:type="dxa"/>
              <w:right w:w="108" w:type="dxa"/>
            </w:tcMar>
          </w:tcPr>
          <w:p w14:paraId="6D882388" w14:textId="77777777" w:rsidR="00626F4B" w:rsidRDefault="00626F4B" w:rsidP="005363B3">
            <w:pPr>
              <w:pStyle w:val="NoSpacing"/>
              <w:rPr>
                <w:b/>
              </w:rPr>
            </w:pPr>
            <w:r>
              <w:rPr>
                <w:b/>
              </w:rPr>
              <w:t>1</w:t>
            </w:r>
          </w:p>
          <w:p w14:paraId="1AC7FCBD" w14:textId="77777777" w:rsidR="00626F4B" w:rsidRDefault="00626F4B" w:rsidP="005363B3">
            <w:pPr>
              <w:pStyle w:val="NoSpacing"/>
              <w:rPr>
                <w:b/>
              </w:rPr>
            </w:pPr>
          </w:p>
          <w:p w14:paraId="05379A88" w14:textId="77777777" w:rsidR="00626F4B" w:rsidRDefault="00626F4B" w:rsidP="005363B3">
            <w:pPr>
              <w:pStyle w:val="NoSpacing"/>
              <w:rPr>
                <w:b/>
              </w:rPr>
            </w:pPr>
          </w:p>
        </w:tc>
        <w:tc>
          <w:tcPr>
            <w:tcW w:w="8935" w:type="dxa"/>
            <w:shd w:val="clear" w:color="auto" w:fill="auto"/>
            <w:tcMar>
              <w:top w:w="0" w:type="dxa"/>
              <w:left w:w="108" w:type="dxa"/>
              <w:bottom w:w="0" w:type="dxa"/>
              <w:right w:w="108" w:type="dxa"/>
            </w:tcMar>
          </w:tcPr>
          <w:p w14:paraId="41300BE7" w14:textId="1B559461" w:rsidR="00626F4B" w:rsidRDefault="00626F4B" w:rsidP="005363B3">
            <w:pPr>
              <w:pStyle w:val="NoSpacing"/>
              <w:rPr>
                <w:b/>
              </w:rPr>
            </w:pPr>
            <w:r>
              <w:rPr>
                <w:b/>
              </w:rPr>
              <w:t>Apologies for Absence</w:t>
            </w:r>
            <w:r w:rsidR="005D35E5">
              <w:rPr>
                <w:b/>
              </w:rPr>
              <w:t xml:space="preserve"> </w:t>
            </w:r>
            <w:r w:rsidR="00E261ED">
              <w:rPr>
                <w:b/>
              </w:rPr>
              <w:t>&amp; Quoracy</w:t>
            </w:r>
          </w:p>
          <w:p w14:paraId="6B45751B" w14:textId="77777777" w:rsidR="00626F4B" w:rsidRDefault="00626F4B" w:rsidP="005363B3">
            <w:pPr>
              <w:pStyle w:val="NoSpacing"/>
            </w:pPr>
          </w:p>
          <w:p w14:paraId="77DA966F" w14:textId="22E22A53" w:rsidR="00ED217D" w:rsidRDefault="001B0590" w:rsidP="005363B3">
            <w:pPr>
              <w:pStyle w:val="NoSpacing"/>
            </w:pPr>
            <w:r>
              <w:t>All members were present.</w:t>
            </w:r>
          </w:p>
          <w:p w14:paraId="42BCEB9A" w14:textId="77777777" w:rsidR="00626F4B" w:rsidRDefault="00626F4B" w:rsidP="00870364">
            <w:pPr>
              <w:pStyle w:val="NoSpacing"/>
            </w:pPr>
            <w:bookmarkStart w:id="0" w:name="_GoBack"/>
            <w:bookmarkEnd w:id="0"/>
          </w:p>
        </w:tc>
      </w:tr>
      <w:tr w:rsidR="00626F4B" w14:paraId="04C558D7" w14:textId="77777777" w:rsidTr="00876574">
        <w:tc>
          <w:tcPr>
            <w:tcW w:w="529" w:type="dxa"/>
            <w:shd w:val="clear" w:color="auto" w:fill="auto"/>
            <w:tcMar>
              <w:top w:w="0" w:type="dxa"/>
              <w:left w:w="108" w:type="dxa"/>
              <w:bottom w:w="0" w:type="dxa"/>
              <w:right w:w="108" w:type="dxa"/>
            </w:tcMar>
          </w:tcPr>
          <w:p w14:paraId="7E3FCEF6" w14:textId="77777777" w:rsidR="00626F4B" w:rsidRDefault="00626F4B" w:rsidP="005363B3">
            <w:pPr>
              <w:pStyle w:val="NoSpacing"/>
              <w:rPr>
                <w:b/>
              </w:rPr>
            </w:pPr>
            <w:r>
              <w:rPr>
                <w:b/>
              </w:rPr>
              <w:t>2</w:t>
            </w:r>
          </w:p>
        </w:tc>
        <w:tc>
          <w:tcPr>
            <w:tcW w:w="8935" w:type="dxa"/>
            <w:shd w:val="clear" w:color="auto" w:fill="auto"/>
            <w:tcMar>
              <w:top w:w="0" w:type="dxa"/>
              <w:left w:w="108" w:type="dxa"/>
              <w:bottom w:w="0" w:type="dxa"/>
              <w:right w:w="108" w:type="dxa"/>
            </w:tcMar>
          </w:tcPr>
          <w:p w14:paraId="70F39EA9" w14:textId="77777777" w:rsidR="00626F4B" w:rsidRDefault="00626F4B" w:rsidP="005363B3">
            <w:pPr>
              <w:pStyle w:val="NoSpacing"/>
              <w:rPr>
                <w:b/>
              </w:rPr>
            </w:pPr>
            <w:r>
              <w:rPr>
                <w:b/>
              </w:rPr>
              <w:t>Declarations of Interest</w:t>
            </w:r>
          </w:p>
          <w:p w14:paraId="4D1ABDCB" w14:textId="77777777" w:rsidR="00626F4B" w:rsidRDefault="00626F4B" w:rsidP="005363B3">
            <w:pPr>
              <w:pStyle w:val="NoSpacing"/>
            </w:pPr>
          </w:p>
          <w:p w14:paraId="15EFED17" w14:textId="77777777" w:rsidR="00626F4B" w:rsidRDefault="00626F4B" w:rsidP="005363B3">
            <w:pPr>
              <w:pStyle w:val="NoSpacing"/>
            </w:pPr>
            <w:r>
              <w:t>None.</w:t>
            </w:r>
          </w:p>
          <w:p w14:paraId="306744C0" w14:textId="77777777" w:rsidR="00626F4B" w:rsidRDefault="00626F4B" w:rsidP="005363B3">
            <w:pPr>
              <w:pStyle w:val="NoSpacing"/>
            </w:pPr>
          </w:p>
        </w:tc>
      </w:tr>
      <w:tr w:rsidR="00504FAF" w14:paraId="4300FB80" w14:textId="77777777" w:rsidTr="00876574">
        <w:tc>
          <w:tcPr>
            <w:tcW w:w="529" w:type="dxa"/>
            <w:shd w:val="clear" w:color="auto" w:fill="auto"/>
            <w:tcMar>
              <w:top w:w="0" w:type="dxa"/>
              <w:left w:w="108" w:type="dxa"/>
              <w:bottom w:w="0" w:type="dxa"/>
              <w:right w:w="108" w:type="dxa"/>
            </w:tcMar>
          </w:tcPr>
          <w:p w14:paraId="16021741" w14:textId="52B0F006" w:rsidR="00504FAF" w:rsidRDefault="00504FAF" w:rsidP="005363B3">
            <w:pPr>
              <w:pStyle w:val="NoSpacing"/>
              <w:rPr>
                <w:b/>
              </w:rPr>
            </w:pPr>
            <w:r>
              <w:rPr>
                <w:b/>
              </w:rPr>
              <w:t>3</w:t>
            </w:r>
          </w:p>
        </w:tc>
        <w:tc>
          <w:tcPr>
            <w:tcW w:w="8935" w:type="dxa"/>
            <w:shd w:val="clear" w:color="auto" w:fill="auto"/>
            <w:tcMar>
              <w:top w:w="0" w:type="dxa"/>
              <w:left w:w="108" w:type="dxa"/>
              <w:bottom w:w="0" w:type="dxa"/>
              <w:right w:w="108" w:type="dxa"/>
            </w:tcMar>
          </w:tcPr>
          <w:p w14:paraId="2FFCCB25" w14:textId="497EF5AB" w:rsidR="00953ACF" w:rsidRDefault="007F3FF7" w:rsidP="00953ACF">
            <w:pPr>
              <w:rPr>
                <w:rFonts w:ascii="Verdana" w:hAnsi="Verdana"/>
                <w:b/>
              </w:rPr>
            </w:pPr>
            <w:r w:rsidRPr="00FE6148">
              <w:rPr>
                <w:rFonts w:ascii="Verdana" w:hAnsi="Verdana"/>
                <w:b/>
              </w:rPr>
              <w:t xml:space="preserve">Draft Minutes of the Previous Meeting (Ordinary Business): </w:t>
            </w:r>
            <w:r w:rsidR="00B425CD">
              <w:rPr>
                <w:rFonts w:ascii="Verdana" w:hAnsi="Verdana"/>
                <w:b/>
              </w:rPr>
              <w:t>1 June</w:t>
            </w:r>
            <w:r w:rsidR="00953ACF">
              <w:rPr>
                <w:rFonts w:ascii="Verdana" w:hAnsi="Verdana"/>
                <w:b/>
              </w:rPr>
              <w:t xml:space="preserve"> 2020</w:t>
            </w:r>
          </w:p>
          <w:p w14:paraId="491B33EE" w14:textId="100A2615" w:rsidR="00504FAF" w:rsidRDefault="00504FAF" w:rsidP="005363B3">
            <w:pPr>
              <w:pStyle w:val="NoSpacing"/>
              <w:rPr>
                <w:b/>
              </w:rPr>
            </w:pPr>
          </w:p>
          <w:p w14:paraId="7FD7BD9F" w14:textId="77777777" w:rsidR="00816A70" w:rsidRPr="00CA1B35" w:rsidRDefault="00816A70" w:rsidP="00816A70">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12926E48" w14:textId="77777777" w:rsidR="00816A70" w:rsidRDefault="00816A70" w:rsidP="00816A70">
            <w:pPr>
              <w:pStyle w:val="NoSpacing"/>
            </w:pPr>
          </w:p>
          <w:p w14:paraId="169D7AD4" w14:textId="4EBF9521" w:rsidR="00816A70" w:rsidRDefault="00816A70" w:rsidP="00816A70">
            <w:pPr>
              <w:pStyle w:val="NoSpacing"/>
            </w:pPr>
            <w:r w:rsidRPr="008D40C1">
              <w:t xml:space="preserve">The minutes were approved as a correct record of the business transacted, and </w:t>
            </w:r>
            <w:r w:rsidRPr="00B152B1">
              <w:rPr>
                <w:i/>
              </w:rPr>
              <w:t>prima facie</w:t>
            </w:r>
            <w:r w:rsidRPr="008D40C1">
              <w:t xml:space="preserve"> evidence of the proceedings to which they relate</w:t>
            </w:r>
            <w:r w:rsidR="00DA51C3">
              <w:t>.</w:t>
            </w:r>
          </w:p>
          <w:p w14:paraId="6942CEB6" w14:textId="610CF4E1" w:rsidR="0081701D" w:rsidRDefault="0081701D" w:rsidP="005363B3">
            <w:pPr>
              <w:pStyle w:val="NoSpacing"/>
              <w:rPr>
                <w:b/>
              </w:rPr>
            </w:pPr>
          </w:p>
        </w:tc>
      </w:tr>
      <w:tr w:rsidR="00504FAF" w14:paraId="0E57A065" w14:textId="77777777" w:rsidTr="00876574">
        <w:tc>
          <w:tcPr>
            <w:tcW w:w="529" w:type="dxa"/>
            <w:shd w:val="clear" w:color="auto" w:fill="auto"/>
            <w:tcMar>
              <w:top w:w="0" w:type="dxa"/>
              <w:left w:w="108" w:type="dxa"/>
              <w:bottom w:w="0" w:type="dxa"/>
              <w:right w:w="108" w:type="dxa"/>
            </w:tcMar>
          </w:tcPr>
          <w:p w14:paraId="17BD401C" w14:textId="68F4EBE5" w:rsidR="00504FAF" w:rsidRDefault="00504FAF" w:rsidP="005363B3">
            <w:pPr>
              <w:pStyle w:val="NoSpacing"/>
              <w:rPr>
                <w:b/>
              </w:rPr>
            </w:pPr>
            <w:r>
              <w:rPr>
                <w:b/>
              </w:rPr>
              <w:t>4</w:t>
            </w:r>
          </w:p>
        </w:tc>
        <w:tc>
          <w:tcPr>
            <w:tcW w:w="8935" w:type="dxa"/>
            <w:shd w:val="clear" w:color="auto" w:fill="auto"/>
            <w:tcMar>
              <w:top w:w="0" w:type="dxa"/>
              <w:left w:w="108" w:type="dxa"/>
              <w:bottom w:w="0" w:type="dxa"/>
              <w:right w:w="108" w:type="dxa"/>
            </w:tcMar>
          </w:tcPr>
          <w:p w14:paraId="594BF634" w14:textId="3DEF1DC2" w:rsidR="00953ACF" w:rsidRDefault="0081701D" w:rsidP="00953ACF">
            <w:pPr>
              <w:rPr>
                <w:rFonts w:ascii="Verdana" w:hAnsi="Verdana"/>
                <w:b/>
              </w:rPr>
            </w:pPr>
            <w:r w:rsidRPr="00FE6148">
              <w:rPr>
                <w:rFonts w:ascii="Verdana" w:hAnsi="Verdana"/>
                <w:b/>
              </w:rPr>
              <w:t xml:space="preserve">Matters Arising from the Draft Minutes (Ordinary Business): </w:t>
            </w:r>
            <w:r w:rsidR="00B425CD">
              <w:rPr>
                <w:rFonts w:ascii="Verdana" w:hAnsi="Verdana"/>
                <w:b/>
              </w:rPr>
              <w:t>1 June</w:t>
            </w:r>
            <w:r w:rsidR="00953ACF">
              <w:rPr>
                <w:rFonts w:ascii="Verdana" w:hAnsi="Verdana"/>
                <w:b/>
              </w:rPr>
              <w:t xml:space="preserve"> 2020</w:t>
            </w:r>
          </w:p>
          <w:p w14:paraId="637818DC" w14:textId="52311B4E" w:rsidR="00903D20" w:rsidRDefault="00903D20" w:rsidP="00A610AD">
            <w:pPr>
              <w:pStyle w:val="NormalWeb"/>
            </w:pPr>
          </w:p>
          <w:p w14:paraId="0554AEBD" w14:textId="77777777" w:rsidR="00A610AD" w:rsidRPr="00A610AD" w:rsidRDefault="00A610AD" w:rsidP="00A610AD">
            <w:pPr>
              <w:pStyle w:val="NormalWeb"/>
              <w:rPr>
                <w:rFonts w:ascii="Verdana" w:hAnsi="Verdana"/>
              </w:rPr>
            </w:pPr>
            <w:r w:rsidRPr="00A610AD">
              <w:rPr>
                <w:rFonts w:ascii="Verdana" w:hAnsi="Verdana"/>
              </w:rPr>
              <w:t>None.</w:t>
            </w:r>
          </w:p>
          <w:p w14:paraId="52512725" w14:textId="4F337D24" w:rsidR="00A610AD" w:rsidRPr="00816A70" w:rsidRDefault="00A610AD" w:rsidP="00A610AD">
            <w:pPr>
              <w:pStyle w:val="NormalWeb"/>
            </w:pPr>
          </w:p>
        </w:tc>
      </w:tr>
      <w:tr w:rsidR="00346D1D" w:rsidRPr="005D6214" w14:paraId="13E4C6D6" w14:textId="77777777" w:rsidTr="00876574">
        <w:tc>
          <w:tcPr>
            <w:tcW w:w="529" w:type="dxa"/>
            <w:shd w:val="clear" w:color="auto" w:fill="auto"/>
            <w:tcMar>
              <w:top w:w="0" w:type="dxa"/>
              <w:left w:w="108" w:type="dxa"/>
              <w:bottom w:w="0" w:type="dxa"/>
              <w:right w:w="108" w:type="dxa"/>
            </w:tcMar>
          </w:tcPr>
          <w:p w14:paraId="2E41F514" w14:textId="16D18FDD" w:rsidR="00346D1D" w:rsidRDefault="0013381E" w:rsidP="005363B3">
            <w:pPr>
              <w:pStyle w:val="NoSpacing"/>
              <w:rPr>
                <w:b/>
              </w:rPr>
            </w:pPr>
            <w:r>
              <w:rPr>
                <w:b/>
              </w:rPr>
              <w:t>5</w:t>
            </w:r>
          </w:p>
        </w:tc>
        <w:tc>
          <w:tcPr>
            <w:tcW w:w="8935" w:type="dxa"/>
            <w:shd w:val="clear" w:color="auto" w:fill="auto"/>
            <w:tcMar>
              <w:top w:w="0" w:type="dxa"/>
              <w:left w:w="108" w:type="dxa"/>
              <w:bottom w:w="0" w:type="dxa"/>
              <w:right w:w="108" w:type="dxa"/>
            </w:tcMar>
          </w:tcPr>
          <w:p w14:paraId="5F1F02C6" w14:textId="77777777" w:rsidR="00346D1D" w:rsidRDefault="00346D1D" w:rsidP="00346D1D">
            <w:pPr>
              <w:rPr>
                <w:rFonts w:ascii="Verdana" w:hAnsi="Verdana"/>
                <w:b/>
              </w:rPr>
            </w:pPr>
            <w:r>
              <w:rPr>
                <w:rFonts w:ascii="Verdana" w:hAnsi="Verdana"/>
                <w:b/>
              </w:rPr>
              <w:t>Student Enrolment: 2020-21</w:t>
            </w:r>
          </w:p>
          <w:p w14:paraId="7BCE9247" w14:textId="77777777" w:rsidR="00346D1D" w:rsidRDefault="00346D1D" w:rsidP="00953ACF">
            <w:pPr>
              <w:rPr>
                <w:rFonts w:ascii="Verdana" w:hAnsi="Verdana"/>
                <w:b/>
              </w:rPr>
            </w:pPr>
          </w:p>
          <w:p w14:paraId="400B0E6F" w14:textId="3936AA6D" w:rsidR="0013381E" w:rsidRDefault="0013381E" w:rsidP="0013381E">
            <w:pPr>
              <w:rPr>
                <w:rFonts w:ascii="Verdana" w:hAnsi="Verdana"/>
                <w:bCs/>
              </w:rPr>
            </w:pPr>
            <w:r>
              <w:rPr>
                <w:rFonts w:ascii="Verdana" w:hAnsi="Verdana"/>
                <w:bCs/>
              </w:rPr>
              <w:t>It was noted</w:t>
            </w:r>
            <w:r w:rsidRPr="00B57A06">
              <w:rPr>
                <w:rFonts w:ascii="Verdana" w:hAnsi="Verdana"/>
                <w:bCs/>
              </w:rPr>
              <w:t xml:space="preserve"> </w:t>
            </w:r>
            <w:r>
              <w:rPr>
                <w:rFonts w:ascii="Verdana" w:hAnsi="Verdana"/>
                <w:bCs/>
              </w:rPr>
              <w:t>that the Board level</w:t>
            </w:r>
            <w:r w:rsidRPr="00B57A06">
              <w:rPr>
                <w:rFonts w:ascii="Verdana" w:hAnsi="Verdana"/>
                <w:bCs/>
              </w:rPr>
              <w:t xml:space="preserve"> risk falling within the remit of the Committee</w:t>
            </w:r>
            <w:r>
              <w:rPr>
                <w:rFonts w:ascii="Verdana" w:hAnsi="Verdana"/>
                <w:bCs/>
              </w:rPr>
              <w:t xml:space="preserve"> is considered under this and the following agendum</w:t>
            </w:r>
            <w:r w:rsidRPr="00B57A06">
              <w:rPr>
                <w:rFonts w:ascii="Verdana" w:hAnsi="Verdana"/>
                <w:bCs/>
              </w:rPr>
              <w:t>.</w:t>
            </w:r>
          </w:p>
          <w:p w14:paraId="26F1B13C" w14:textId="77777777" w:rsidR="0013381E" w:rsidRDefault="0013381E" w:rsidP="00953ACF">
            <w:pPr>
              <w:rPr>
                <w:rFonts w:ascii="Verdana" w:hAnsi="Verdana"/>
                <w:bCs/>
              </w:rPr>
            </w:pPr>
          </w:p>
          <w:p w14:paraId="1E91B171" w14:textId="1727763B" w:rsidR="007A6234" w:rsidRDefault="00346D1D" w:rsidP="00953ACF">
            <w:pPr>
              <w:rPr>
                <w:rFonts w:ascii="Verdana" w:hAnsi="Verdana"/>
              </w:rPr>
            </w:pPr>
            <w:r w:rsidRPr="00346D1D">
              <w:rPr>
                <w:rFonts w:ascii="Verdana" w:hAnsi="Verdana"/>
                <w:bCs/>
              </w:rPr>
              <w:t xml:space="preserve">A report prepared by the </w:t>
            </w:r>
            <w:r>
              <w:rPr>
                <w:rFonts w:ascii="Verdana" w:hAnsi="Verdana"/>
              </w:rPr>
              <w:t xml:space="preserve">Vice-Principal: </w:t>
            </w:r>
            <w:r w:rsidRPr="00FE7EDC">
              <w:rPr>
                <w:rFonts w:ascii="Verdana" w:hAnsi="Verdana"/>
              </w:rPr>
              <w:t>Student S</w:t>
            </w:r>
            <w:r>
              <w:rPr>
                <w:rFonts w:ascii="Verdana" w:hAnsi="Verdana"/>
              </w:rPr>
              <w:t>ervices and Recruitment</w:t>
            </w:r>
            <w:r w:rsidR="00CD65F2">
              <w:rPr>
                <w:rFonts w:ascii="Verdana" w:hAnsi="Verdana"/>
              </w:rPr>
              <w:t xml:space="preserve"> in relation to agenda 5 and 6</w:t>
            </w:r>
            <w:r>
              <w:rPr>
                <w:rFonts w:ascii="Verdana" w:hAnsi="Verdana"/>
              </w:rPr>
              <w:t xml:space="preserve"> was received and considered.  </w:t>
            </w:r>
          </w:p>
          <w:p w14:paraId="7A5AFBB4" w14:textId="77777777" w:rsidR="007A6234" w:rsidRDefault="007A6234" w:rsidP="00953ACF">
            <w:pPr>
              <w:rPr>
                <w:rFonts w:ascii="Verdana" w:hAnsi="Verdana"/>
              </w:rPr>
            </w:pPr>
          </w:p>
          <w:p w14:paraId="3363BA09" w14:textId="5650F1D9" w:rsidR="00346D1D" w:rsidRPr="00346D1D" w:rsidRDefault="00346D1D" w:rsidP="00953ACF">
            <w:pPr>
              <w:rPr>
                <w:rFonts w:ascii="Verdana" w:hAnsi="Verdana"/>
                <w:bCs/>
              </w:rPr>
            </w:pPr>
            <w:r>
              <w:rPr>
                <w:rFonts w:ascii="Verdana" w:hAnsi="Verdana"/>
              </w:rPr>
              <w:t>It was noted that:</w:t>
            </w:r>
          </w:p>
        </w:tc>
      </w:tr>
    </w:tbl>
    <w:p w14:paraId="52D904AF" w14:textId="69F15683" w:rsidR="002E7806" w:rsidRDefault="002E7806"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346D1D" w:rsidRPr="002F412F" w14:paraId="013494D9" w14:textId="77777777" w:rsidTr="00876574">
        <w:tc>
          <w:tcPr>
            <w:tcW w:w="534" w:type="dxa"/>
          </w:tcPr>
          <w:p w14:paraId="53229DB4" w14:textId="77777777" w:rsidR="00346D1D" w:rsidRPr="002F412F" w:rsidRDefault="00346D1D" w:rsidP="007A6234">
            <w:pPr>
              <w:rPr>
                <w:rFonts w:ascii="Verdana" w:hAnsi="Verdana"/>
                <w:color w:val="FF0000"/>
              </w:rPr>
            </w:pPr>
          </w:p>
        </w:tc>
        <w:tc>
          <w:tcPr>
            <w:tcW w:w="312" w:type="dxa"/>
          </w:tcPr>
          <w:p w14:paraId="7208D1F6" w14:textId="77777777" w:rsidR="00346D1D" w:rsidRPr="002F412F" w:rsidRDefault="00346D1D" w:rsidP="007A6234">
            <w:pPr>
              <w:rPr>
                <w:rFonts w:ascii="Verdana" w:hAnsi="Verdana"/>
                <w:b/>
              </w:rPr>
            </w:pPr>
            <w:r w:rsidRPr="002F412F">
              <w:rPr>
                <w:rFonts w:ascii="Verdana" w:hAnsi="Verdana"/>
                <w:b/>
              </w:rPr>
              <w:t>.</w:t>
            </w:r>
          </w:p>
        </w:tc>
        <w:tc>
          <w:tcPr>
            <w:tcW w:w="8618" w:type="dxa"/>
          </w:tcPr>
          <w:p w14:paraId="2EE15CED" w14:textId="5E1DFECE" w:rsidR="00346D1D" w:rsidRDefault="00346D1D" w:rsidP="007A6234">
            <w:pPr>
              <w:pStyle w:val="NoSpacing"/>
            </w:pPr>
            <w:r>
              <w:t xml:space="preserve">applications </w:t>
            </w:r>
            <w:r w:rsidR="007A6234">
              <w:t xml:space="preserve">had </w:t>
            </w:r>
            <w:r>
              <w:t xml:space="preserve">increased by 16% in 2020 by comparison with 2019 (from 2,520 to </w:t>
            </w:r>
            <w:r w:rsidR="00781AE3">
              <w:t>2,928), largely owing to the sustained improvement in school liaison prior to closure and the improved reputation of the College;</w:t>
            </w:r>
          </w:p>
          <w:p w14:paraId="5CB75B40" w14:textId="62BAAF3B" w:rsidR="00781AE3" w:rsidRPr="002F412F" w:rsidRDefault="00781AE3" w:rsidP="007A6234">
            <w:pPr>
              <w:pStyle w:val="NoSpacing"/>
            </w:pPr>
          </w:p>
        </w:tc>
      </w:tr>
      <w:tr w:rsidR="00346D1D" w:rsidRPr="007C2BF3" w14:paraId="1FDAF7E7" w14:textId="77777777" w:rsidTr="00876574">
        <w:tc>
          <w:tcPr>
            <w:tcW w:w="534" w:type="dxa"/>
          </w:tcPr>
          <w:p w14:paraId="593F0034" w14:textId="77777777" w:rsidR="00346D1D" w:rsidRPr="002F412F" w:rsidRDefault="00346D1D" w:rsidP="007A6234">
            <w:pPr>
              <w:rPr>
                <w:rFonts w:ascii="Verdana" w:hAnsi="Verdana"/>
                <w:color w:val="FF0000"/>
              </w:rPr>
            </w:pPr>
          </w:p>
        </w:tc>
        <w:tc>
          <w:tcPr>
            <w:tcW w:w="312" w:type="dxa"/>
          </w:tcPr>
          <w:p w14:paraId="60F7ADA5" w14:textId="77777777" w:rsidR="00346D1D" w:rsidRPr="002F412F" w:rsidRDefault="00346D1D" w:rsidP="007A6234">
            <w:pPr>
              <w:rPr>
                <w:rFonts w:ascii="Verdana" w:hAnsi="Verdana"/>
                <w:b/>
              </w:rPr>
            </w:pPr>
            <w:r w:rsidRPr="002F412F">
              <w:rPr>
                <w:rFonts w:ascii="Verdana" w:hAnsi="Verdana"/>
                <w:b/>
              </w:rPr>
              <w:t>.</w:t>
            </w:r>
          </w:p>
        </w:tc>
        <w:tc>
          <w:tcPr>
            <w:tcW w:w="8618" w:type="dxa"/>
          </w:tcPr>
          <w:p w14:paraId="27EEA51F" w14:textId="11A690A2" w:rsidR="00346D1D" w:rsidRDefault="00781AE3" w:rsidP="007A6234">
            <w:pPr>
              <w:pStyle w:val="NoSpacing"/>
            </w:pPr>
            <w:r>
              <w:t xml:space="preserve">the application to offer ratio </w:t>
            </w:r>
            <w:r w:rsidR="007A6234">
              <w:t>had fallen</w:t>
            </w:r>
            <w:r>
              <w:t xml:space="preserve"> by seven percentage points (from 58% to 51%) by comparison with 2019, largely owing to the greater ease of the online application system leading to a number of students </w:t>
            </w:r>
            <w:r w:rsidR="00CD65F2">
              <w:t xml:space="preserve">having </w:t>
            </w:r>
            <w:r w:rsidR="00CD65F2">
              <w:lastRenderedPageBreak/>
              <w:t>expressed</w:t>
            </w:r>
            <w:r>
              <w:t xml:space="preserve"> an interest with little intention of following it through, as well as the pandemic restrictions </w:t>
            </w:r>
            <w:r w:rsidR="00CD65F2">
              <w:t xml:space="preserve">having </w:t>
            </w:r>
            <w:r>
              <w:t>impac</w:t>
            </w:r>
            <w:r w:rsidR="00CD65F2">
              <w:t>ted</w:t>
            </w:r>
            <w:r>
              <w:t xml:space="preserve"> on face-to-face interviews during the summer;</w:t>
            </w:r>
          </w:p>
          <w:p w14:paraId="18CD87AF" w14:textId="1635C5B6" w:rsidR="00781AE3" w:rsidRPr="007C2BF3" w:rsidRDefault="00781AE3" w:rsidP="007A6234">
            <w:pPr>
              <w:pStyle w:val="NoSpacing"/>
            </w:pPr>
          </w:p>
        </w:tc>
      </w:tr>
      <w:tr w:rsidR="00781AE3" w:rsidRPr="007C2BF3" w14:paraId="6150A34D" w14:textId="77777777" w:rsidTr="00876574">
        <w:tc>
          <w:tcPr>
            <w:tcW w:w="534" w:type="dxa"/>
          </w:tcPr>
          <w:p w14:paraId="286E0EC3" w14:textId="77777777" w:rsidR="00781AE3" w:rsidRPr="002F412F" w:rsidRDefault="00781AE3" w:rsidP="007A6234">
            <w:pPr>
              <w:rPr>
                <w:rFonts w:ascii="Verdana" w:hAnsi="Verdana"/>
                <w:color w:val="FF0000"/>
              </w:rPr>
            </w:pPr>
          </w:p>
        </w:tc>
        <w:tc>
          <w:tcPr>
            <w:tcW w:w="312" w:type="dxa"/>
          </w:tcPr>
          <w:p w14:paraId="21390949" w14:textId="6FA9C1BD" w:rsidR="00781AE3" w:rsidRPr="002F412F" w:rsidRDefault="00781AE3" w:rsidP="007A6234">
            <w:pPr>
              <w:rPr>
                <w:rFonts w:ascii="Verdana" w:hAnsi="Verdana"/>
                <w:b/>
              </w:rPr>
            </w:pPr>
            <w:r>
              <w:rPr>
                <w:rFonts w:ascii="Verdana" w:hAnsi="Verdana"/>
                <w:b/>
              </w:rPr>
              <w:t>.</w:t>
            </w:r>
          </w:p>
        </w:tc>
        <w:tc>
          <w:tcPr>
            <w:tcW w:w="8618" w:type="dxa"/>
          </w:tcPr>
          <w:p w14:paraId="76830CCC" w14:textId="14393501" w:rsidR="00781AE3" w:rsidRDefault="00781AE3" w:rsidP="007A6234">
            <w:pPr>
              <w:pStyle w:val="NoSpacing"/>
            </w:pPr>
            <w:r>
              <w:t>the offer to enrolment percentage</w:t>
            </w:r>
            <w:r w:rsidR="007A6234">
              <w:t xml:space="preserve"> had</w:t>
            </w:r>
            <w:r>
              <w:t xml:space="preserve"> increased to 46.6% (</w:t>
            </w:r>
            <w:r w:rsidR="00CD65F2">
              <w:t>2018:</w:t>
            </w:r>
            <w:r>
              <w:t>34%</w:t>
            </w:r>
            <w:r w:rsidR="00CD65F2">
              <w:t>, 2019:</w:t>
            </w:r>
            <w:r>
              <w:t xml:space="preserve"> 41%) largely, it is thought, owing to better school li</w:t>
            </w:r>
            <w:r w:rsidR="008963A3">
              <w:t>aison, higher attendances at open days and more effectively sustained “keep warm” activities;</w:t>
            </w:r>
          </w:p>
          <w:p w14:paraId="24260313" w14:textId="3FDC039A" w:rsidR="008963A3" w:rsidRDefault="008963A3" w:rsidP="007A6234">
            <w:pPr>
              <w:pStyle w:val="NoSpacing"/>
            </w:pPr>
          </w:p>
        </w:tc>
      </w:tr>
      <w:tr w:rsidR="00781AE3" w:rsidRPr="007C2BF3" w14:paraId="32E4E085" w14:textId="77777777" w:rsidTr="00876574">
        <w:tc>
          <w:tcPr>
            <w:tcW w:w="534" w:type="dxa"/>
          </w:tcPr>
          <w:p w14:paraId="6D95B209" w14:textId="77777777" w:rsidR="00781AE3" w:rsidRPr="002F412F" w:rsidRDefault="00781AE3" w:rsidP="007A6234">
            <w:pPr>
              <w:rPr>
                <w:rFonts w:ascii="Verdana" w:hAnsi="Verdana"/>
                <w:color w:val="FF0000"/>
              </w:rPr>
            </w:pPr>
          </w:p>
        </w:tc>
        <w:tc>
          <w:tcPr>
            <w:tcW w:w="312" w:type="dxa"/>
          </w:tcPr>
          <w:p w14:paraId="22DC0725" w14:textId="5E7A5004" w:rsidR="00781AE3" w:rsidRPr="002F412F" w:rsidRDefault="00781AE3" w:rsidP="007A6234">
            <w:pPr>
              <w:rPr>
                <w:rFonts w:ascii="Verdana" w:hAnsi="Verdana"/>
                <w:b/>
              </w:rPr>
            </w:pPr>
            <w:r>
              <w:rPr>
                <w:rFonts w:ascii="Verdana" w:hAnsi="Verdana"/>
                <w:b/>
              </w:rPr>
              <w:t>.</w:t>
            </w:r>
          </w:p>
        </w:tc>
        <w:tc>
          <w:tcPr>
            <w:tcW w:w="8618" w:type="dxa"/>
          </w:tcPr>
          <w:p w14:paraId="14F558DD" w14:textId="6F19F675" w:rsidR="00781AE3" w:rsidRDefault="008963A3" w:rsidP="007A6234">
            <w:pPr>
              <w:pStyle w:val="NoSpacing"/>
            </w:pPr>
            <w:r>
              <w:t xml:space="preserve">walk-ins </w:t>
            </w:r>
            <w:r w:rsidR="007A6234">
              <w:t xml:space="preserve">had </w:t>
            </w:r>
            <w:r>
              <w:t xml:space="preserve">increased by comparison with 2019, with limitations on the number of available places </w:t>
            </w:r>
            <w:r w:rsidR="00177B2E">
              <w:t xml:space="preserve">having </w:t>
            </w:r>
            <w:r>
              <w:t>restrict</w:t>
            </w:r>
            <w:r w:rsidR="00177B2E">
              <w:t>ed</w:t>
            </w:r>
            <w:r>
              <w:t xml:space="preserve"> the College’s ability to accommodate all qualified applicants;</w:t>
            </w:r>
          </w:p>
          <w:p w14:paraId="6E0AE44A" w14:textId="70C01BBF" w:rsidR="008963A3" w:rsidRDefault="008963A3" w:rsidP="007A6234">
            <w:pPr>
              <w:pStyle w:val="NoSpacing"/>
            </w:pPr>
          </w:p>
        </w:tc>
      </w:tr>
      <w:tr w:rsidR="00781AE3" w:rsidRPr="007C2BF3" w14:paraId="5E3CFAA8" w14:textId="77777777" w:rsidTr="00876574">
        <w:tc>
          <w:tcPr>
            <w:tcW w:w="534" w:type="dxa"/>
          </w:tcPr>
          <w:p w14:paraId="2590170A" w14:textId="77777777" w:rsidR="00781AE3" w:rsidRPr="002F412F" w:rsidRDefault="00781AE3" w:rsidP="007A6234">
            <w:pPr>
              <w:rPr>
                <w:rFonts w:ascii="Verdana" w:hAnsi="Verdana"/>
                <w:color w:val="FF0000"/>
              </w:rPr>
            </w:pPr>
          </w:p>
        </w:tc>
        <w:tc>
          <w:tcPr>
            <w:tcW w:w="312" w:type="dxa"/>
          </w:tcPr>
          <w:p w14:paraId="23D0954E" w14:textId="155C9A13" w:rsidR="00781AE3" w:rsidRPr="002F412F" w:rsidRDefault="00781AE3" w:rsidP="007A6234">
            <w:pPr>
              <w:rPr>
                <w:rFonts w:ascii="Verdana" w:hAnsi="Verdana"/>
                <w:b/>
              </w:rPr>
            </w:pPr>
            <w:r>
              <w:rPr>
                <w:rFonts w:ascii="Verdana" w:hAnsi="Verdana"/>
                <w:b/>
              </w:rPr>
              <w:t>.</w:t>
            </w:r>
          </w:p>
        </w:tc>
        <w:tc>
          <w:tcPr>
            <w:tcW w:w="8618" w:type="dxa"/>
          </w:tcPr>
          <w:p w14:paraId="41897342" w14:textId="69F9535A" w:rsidR="008963A3" w:rsidRDefault="008963A3" w:rsidP="007A6234">
            <w:pPr>
              <w:pStyle w:val="NoSpacing"/>
              <w:rPr>
                <w:rFonts w:eastAsia="Times New Roman" w:cstheme="minorHAnsi"/>
                <w:lang w:eastAsia="en-GB"/>
              </w:rPr>
            </w:pPr>
            <w:r>
              <w:t>a more generous policy in relation to internal progression by reference to minimum criteria had been operated in recognition of</w:t>
            </w:r>
            <w:r>
              <w:rPr>
                <w:rFonts w:eastAsia="Times New Roman" w:cstheme="minorHAnsi"/>
                <w:lang w:eastAsia="en-GB"/>
              </w:rPr>
              <w:t xml:space="preserve"> the personal challenges </w:t>
            </w:r>
            <w:r w:rsidR="00177B2E">
              <w:rPr>
                <w:rFonts w:eastAsia="Times New Roman" w:cstheme="minorHAnsi"/>
                <w:lang w:eastAsia="en-GB"/>
              </w:rPr>
              <w:t xml:space="preserve">faced by </w:t>
            </w:r>
            <w:r>
              <w:rPr>
                <w:rFonts w:eastAsia="Times New Roman" w:cstheme="minorHAnsi"/>
                <w:lang w:eastAsia="en-GB"/>
              </w:rPr>
              <w:t xml:space="preserve">students owing to the College closure in the </w:t>
            </w:r>
            <w:r w:rsidR="00177B2E">
              <w:rPr>
                <w:rFonts w:eastAsia="Times New Roman" w:cstheme="minorHAnsi"/>
                <w:lang w:eastAsia="en-GB"/>
              </w:rPr>
              <w:t>Winter/</w:t>
            </w:r>
            <w:r>
              <w:rPr>
                <w:rFonts w:eastAsia="Times New Roman" w:cstheme="minorHAnsi"/>
                <w:lang w:eastAsia="en-GB"/>
              </w:rPr>
              <w:t>Spring and Summer terms;</w:t>
            </w:r>
          </w:p>
          <w:p w14:paraId="13FCA46F" w14:textId="78F09B79" w:rsidR="00781AE3" w:rsidRDefault="008963A3" w:rsidP="007A6234">
            <w:pPr>
              <w:pStyle w:val="NoSpacing"/>
            </w:pPr>
            <w:r>
              <w:t xml:space="preserve"> </w:t>
            </w:r>
          </w:p>
        </w:tc>
      </w:tr>
      <w:tr w:rsidR="00781AE3" w:rsidRPr="007C2BF3" w14:paraId="3D9DF416" w14:textId="77777777" w:rsidTr="00876574">
        <w:tc>
          <w:tcPr>
            <w:tcW w:w="534" w:type="dxa"/>
          </w:tcPr>
          <w:p w14:paraId="6468F20B" w14:textId="77777777" w:rsidR="00781AE3" w:rsidRPr="002F412F" w:rsidRDefault="00781AE3" w:rsidP="007A6234">
            <w:pPr>
              <w:rPr>
                <w:rFonts w:ascii="Verdana" w:hAnsi="Verdana"/>
                <w:color w:val="FF0000"/>
              </w:rPr>
            </w:pPr>
          </w:p>
        </w:tc>
        <w:tc>
          <w:tcPr>
            <w:tcW w:w="312" w:type="dxa"/>
          </w:tcPr>
          <w:p w14:paraId="291A893B" w14:textId="1C8F7E9B" w:rsidR="00781AE3" w:rsidRPr="002F412F" w:rsidRDefault="00781AE3" w:rsidP="007A6234">
            <w:pPr>
              <w:rPr>
                <w:rFonts w:ascii="Verdana" w:hAnsi="Verdana"/>
                <w:b/>
              </w:rPr>
            </w:pPr>
            <w:r>
              <w:rPr>
                <w:rFonts w:ascii="Verdana" w:hAnsi="Verdana"/>
                <w:b/>
              </w:rPr>
              <w:t>.</w:t>
            </w:r>
          </w:p>
        </w:tc>
        <w:tc>
          <w:tcPr>
            <w:tcW w:w="8618" w:type="dxa"/>
          </w:tcPr>
          <w:p w14:paraId="7C7818E5" w14:textId="08E8BFEA" w:rsidR="00781AE3" w:rsidRDefault="008963A3" w:rsidP="007A6234">
            <w:pPr>
              <w:pStyle w:val="NoSpacing"/>
            </w:pPr>
            <w:r>
              <w:t xml:space="preserve">the number of drop-outs had exceeded the 2019 rate by 1% largely owing to “no shows” at induction (i.e. students holding multiple offers </w:t>
            </w:r>
            <w:r w:rsidR="00177B2E">
              <w:t>who had</w:t>
            </w:r>
            <w:r>
              <w:t xml:space="preserve"> decid</w:t>
            </w:r>
            <w:r w:rsidR="00177B2E">
              <w:t>ed</w:t>
            </w:r>
            <w:r>
              <w:t xml:space="preserve"> against </w:t>
            </w:r>
            <w:r w:rsidR="007A6234">
              <w:t>enrolling at the College</w:t>
            </w:r>
            <w:r>
              <w:t>);</w:t>
            </w:r>
          </w:p>
          <w:p w14:paraId="7A0F7239" w14:textId="6630E2C2" w:rsidR="008963A3" w:rsidRDefault="008963A3" w:rsidP="007A6234">
            <w:pPr>
              <w:pStyle w:val="NoSpacing"/>
            </w:pPr>
          </w:p>
        </w:tc>
      </w:tr>
      <w:tr w:rsidR="008963A3" w:rsidRPr="007C2BF3" w14:paraId="7A6DC6C4" w14:textId="77777777" w:rsidTr="00876574">
        <w:tc>
          <w:tcPr>
            <w:tcW w:w="534" w:type="dxa"/>
          </w:tcPr>
          <w:p w14:paraId="3C950EB5" w14:textId="77777777" w:rsidR="008963A3" w:rsidRPr="002F412F" w:rsidRDefault="008963A3" w:rsidP="007A6234">
            <w:pPr>
              <w:rPr>
                <w:rFonts w:ascii="Verdana" w:hAnsi="Verdana"/>
                <w:color w:val="FF0000"/>
              </w:rPr>
            </w:pPr>
          </w:p>
        </w:tc>
        <w:tc>
          <w:tcPr>
            <w:tcW w:w="312" w:type="dxa"/>
          </w:tcPr>
          <w:p w14:paraId="3D61FCB6" w14:textId="5420ACD9" w:rsidR="008963A3" w:rsidRDefault="008963A3" w:rsidP="007A6234">
            <w:pPr>
              <w:rPr>
                <w:rFonts w:ascii="Verdana" w:hAnsi="Verdana"/>
                <w:b/>
              </w:rPr>
            </w:pPr>
            <w:r>
              <w:rPr>
                <w:rFonts w:ascii="Verdana" w:hAnsi="Verdana"/>
                <w:b/>
              </w:rPr>
              <w:t>.</w:t>
            </w:r>
          </w:p>
        </w:tc>
        <w:tc>
          <w:tcPr>
            <w:tcW w:w="8618" w:type="dxa"/>
          </w:tcPr>
          <w:p w14:paraId="1F3A9395" w14:textId="77777777" w:rsidR="008963A3" w:rsidRDefault="008963A3" w:rsidP="007A6234">
            <w:pPr>
              <w:pStyle w:val="NoSpacing"/>
              <w:rPr>
                <w:i/>
                <w:iCs/>
              </w:rPr>
            </w:pPr>
            <w:r>
              <w:t>retention during the six-week period from the start of the Autumn Term</w:t>
            </w:r>
            <w:r w:rsidR="007A6234">
              <w:t xml:space="preserve"> had improved, and the number of exclusions had continued to decline; </w:t>
            </w:r>
            <w:r w:rsidR="007A6234">
              <w:rPr>
                <w:i/>
                <w:iCs/>
              </w:rPr>
              <w:t>and</w:t>
            </w:r>
          </w:p>
          <w:p w14:paraId="7328AC7A" w14:textId="2928D9DC" w:rsidR="007A6234" w:rsidRPr="007A6234" w:rsidRDefault="007A6234" w:rsidP="007A6234">
            <w:pPr>
              <w:pStyle w:val="NoSpacing"/>
              <w:rPr>
                <w:i/>
                <w:iCs/>
              </w:rPr>
            </w:pPr>
          </w:p>
        </w:tc>
      </w:tr>
      <w:tr w:rsidR="008963A3" w:rsidRPr="007C2BF3" w14:paraId="5A2FA142" w14:textId="77777777" w:rsidTr="00876574">
        <w:tc>
          <w:tcPr>
            <w:tcW w:w="534" w:type="dxa"/>
          </w:tcPr>
          <w:p w14:paraId="606F568C" w14:textId="77777777" w:rsidR="008963A3" w:rsidRPr="002F412F" w:rsidRDefault="008963A3" w:rsidP="007A6234">
            <w:pPr>
              <w:rPr>
                <w:rFonts w:ascii="Verdana" w:hAnsi="Verdana"/>
                <w:color w:val="FF0000"/>
              </w:rPr>
            </w:pPr>
          </w:p>
        </w:tc>
        <w:tc>
          <w:tcPr>
            <w:tcW w:w="312" w:type="dxa"/>
          </w:tcPr>
          <w:p w14:paraId="2A5810C0" w14:textId="0493F25A" w:rsidR="008963A3" w:rsidRDefault="008963A3" w:rsidP="007A6234">
            <w:pPr>
              <w:rPr>
                <w:rFonts w:ascii="Verdana" w:hAnsi="Verdana"/>
                <w:b/>
              </w:rPr>
            </w:pPr>
            <w:r>
              <w:rPr>
                <w:rFonts w:ascii="Verdana" w:hAnsi="Verdana"/>
                <w:b/>
              </w:rPr>
              <w:t>.</w:t>
            </w:r>
          </w:p>
        </w:tc>
        <w:tc>
          <w:tcPr>
            <w:tcW w:w="8618" w:type="dxa"/>
          </w:tcPr>
          <w:p w14:paraId="0F877211" w14:textId="6EDA5742" w:rsidR="008963A3" w:rsidRDefault="007A6234" w:rsidP="007A6234">
            <w:pPr>
              <w:pStyle w:val="NoSpacing"/>
            </w:pPr>
            <w:r>
              <w:rPr>
                <w:rFonts w:eastAsia="Times New Roman" w:cstheme="minorHAnsi"/>
                <w:bCs/>
                <w:lang w:eastAsia="en-GB"/>
              </w:rPr>
              <w:t xml:space="preserve">whilst the final </w:t>
            </w:r>
            <w:r w:rsidR="00177B2E">
              <w:rPr>
                <w:rFonts w:eastAsia="Times New Roman" w:cstheme="minorHAnsi"/>
                <w:bCs/>
                <w:lang w:eastAsia="en-GB"/>
              </w:rPr>
              <w:t>enrolment</w:t>
            </w:r>
            <w:r>
              <w:rPr>
                <w:rFonts w:eastAsia="Times New Roman" w:cstheme="minorHAnsi"/>
                <w:bCs/>
                <w:lang w:eastAsia="en-GB"/>
              </w:rPr>
              <w:t xml:space="preserve"> is below target, this is mainly the result of courses being full and the College being unable</w:t>
            </w:r>
            <w:r w:rsidR="00177B2E">
              <w:rPr>
                <w:rFonts w:eastAsia="Times New Roman" w:cstheme="minorHAnsi"/>
                <w:bCs/>
                <w:lang w:eastAsia="en-GB"/>
              </w:rPr>
              <w:t xml:space="preserve"> therefore</w:t>
            </w:r>
            <w:r>
              <w:rPr>
                <w:rFonts w:eastAsia="Times New Roman" w:cstheme="minorHAnsi"/>
                <w:bCs/>
                <w:lang w:eastAsia="en-GB"/>
              </w:rPr>
              <w:t xml:space="preserve"> to place students on a waiting list.</w:t>
            </w:r>
          </w:p>
        </w:tc>
      </w:tr>
    </w:tbl>
    <w:p w14:paraId="2606B27F" w14:textId="77777777" w:rsidR="00870364" w:rsidRDefault="0087036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346D1D" w:rsidRPr="00A973DA" w14:paraId="4B0F6D34" w14:textId="77777777" w:rsidTr="00876574">
        <w:tc>
          <w:tcPr>
            <w:tcW w:w="529" w:type="dxa"/>
            <w:shd w:val="clear" w:color="auto" w:fill="auto"/>
            <w:tcMar>
              <w:top w:w="0" w:type="dxa"/>
              <w:left w:w="108" w:type="dxa"/>
              <w:bottom w:w="0" w:type="dxa"/>
              <w:right w:w="108" w:type="dxa"/>
            </w:tcMar>
          </w:tcPr>
          <w:p w14:paraId="0B30A296" w14:textId="25AEA2AD" w:rsidR="00346D1D" w:rsidRPr="007A6234" w:rsidRDefault="0013381E" w:rsidP="007A6234">
            <w:pPr>
              <w:pStyle w:val="NoSpacing"/>
              <w:rPr>
                <w:b/>
              </w:rPr>
            </w:pPr>
            <w:r>
              <w:rPr>
                <w:b/>
              </w:rPr>
              <w:t>6</w:t>
            </w:r>
          </w:p>
        </w:tc>
        <w:tc>
          <w:tcPr>
            <w:tcW w:w="8935" w:type="dxa"/>
            <w:shd w:val="clear" w:color="auto" w:fill="auto"/>
            <w:tcMar>
              <w:top w:w="0" w:type="dxa"/>
              <w:left w:w="108" w:type="dxa"/>
              <w:bottom w:w="0" w:type="dxa"/>
              <w:right w:w="108" w:type="dxa"/>
            </w:tcMar>
          </w:tcPr>
          <w:p w14:paraId="4386CB70" w14:textId="77777777" w:rsidR="007A6234" w:rsidRPr="007A6234" w:rsidRDefault="007A6234" w:rsidP="007A6234">
            <w:pPr>
              <w:rPr>
                <w:rFonts w:ascii="Verdana" w:hAnsi="Verdana"/>
                <w:b/>
              </w:rPr>
            </w:pPr>
            <w:r w:rsidRPr="007A6234">
              <w:rPr>
                <w:rFonts w:ascii="Verdana" w:hAnsi="Verdana"/>
                <w:b/>
              </w:rPr>
              <w:t>Communications and Marketing, with Special Reference to Student Recruitment 2021-22 in the Context of the Public Health Emergency</w:t>
            </w:r>
          </w:p>
          <w:p w14:paraId="3DAA2FB1" w14:textId="77777777" w:rsidR="00346D1D" w:rsidRPr="007A6234" w:rsidRDefault="00346D1D" w:rsidP="007A6234">
            <w:pPr>
              <w:rPr>
                <w:rFonts w:ascii="Verdana" w:hAnsi="Verdana"/>
                <w:b/>
              </w:rPr>
            </w:pPr>
          </w:p>
          <w:p w14:paraId="5CA2CE6C" w14:textId="5286D4B9" w:rsidR="00346D1D" w:rsidRDefault="007A6234" w:rsidP="007A6234">
            <w:pPr>
              <w:rPr>
                <w:rFonts w:ascii="Verdana" w:hAnsi="Verdana"/>
              </w:rPr>
            </w:pPr>
            <w:r w:rsidRPr="007A6234">
              <w:rPr>
                <w:rFonts w:ascii="Verdana" w:hAnsi="Verdana"/>
              </w:rPr>
              <w:t xml:space="preserve">The report received under Agendum </w:t>
            </w:r>
            <w:r w:rsidR="0013381E">
              <w:rPr>
                <w:rFonts w:ascii="Verdana" w:hAnsi="Verdana"/>
              </w:rPr>
              <w:t>5</w:t>
            </w:r>
            <w:r w:rsidR="00346D1D" w:rsidRPr="007A6234">
              <w:rPr>
                <w:rFonts w:ascii="Verdana" w:hAnsi="Verdana"/>
              </w:rPr>
              <w:t xml:space="preserve"> </w:t>
            </w:r>
            <w:r>
              <w:rPr>
                <w:rFonts w:ascii="Verdana" w:hAnsi="Verdana"/>
              </w:rPr>
              <w:t xml:space="preserve">was also reviewed in the context of the College’s </w:t>
            </w:r>
            <w:r w:rsidR="00AA2933">
              <w:rPr>
                <w:rFonts w:ascii="Verdana" w:hAnsi="Verdana"/>
              </w:rPr>
              <w:t xml:space="preserve">2021 </w:t>
            </w:r>
            <w:r>
              <w:rPr>
                <w:rFonts w:ascii="Verdana" w:hAnsi="Verdana"/>
              </w:rPr>
              <w:t xml:space="preserve">recruitment strategy in the context of the </w:t>
            </w:r>
            <w:r w:rsidR="006234EE">
              <w:rPr>
                <w:rFonts w:ascii="Verdana" w:hAnsi="Verdana"/>
              </w:rPr>
              <w:t>public health emergency</w:t>
            </w:r>
            <w:r>
              <w:rPr>
                <w:rFonts w:ascii="Verdana" w:hAnsi="Verdana"/>
              </w:rPr>
              <w:t>.</w:t>
            </w:r>
          </w:p>
          <w:p w14:paraId="67E0BF46" w14:textId="77777777" w:rsidR="007A6234" w:rsidRDefault="007A6234" w:rsidP="007A6234">
            <w:pPr>
              <w:rPr>
                <w:rFonts w:ascii="Verdana" w:hAnsi="Verdana"/>
              </w:rPr>
            </w:pPr>
          </w:p>
          <w:p w14:paraId="502F8BB5" w14:textId="12BE2204" w:rsidR="007A6234" w:rsidRPr="007A6234" w:rsidRDefault="007A6234" w:rsidP="007A6234">
            <w:pPr>
              <w:rPr>
                <w:rFonts w:ascii="Verdana" w:hAnsi="Verdana"/>
              </w:rPr>
            </w:pPr>
            <w:r>
              <w:rPr>
                <w:rFonts w:ascii="Verdana" w:hAnsi="Verdana"/>
              </w:rPr>
              <w:t>It was noted that:</w:t>
            </w:r>
          </w:p>
        </w:tc>
      </w:tr>
    </w:tbl>
    <w:p w14:paraId="30AAF3C5" w14:textId="77777777" w:rsidR="00346D1D" w:rsidRDefault="00346D1D"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C760FC" w14:paraId="5671DCC0" w14:textId="77777777" w:rsidTr="00876574">
        <w:tc>
          <w:tcPr>
            <w:tcW w:w="534" w:type="dxa"/>
          </w:tcPr>
          <w:p w14:paraId="627D21BB" w14:textId="77777777" w:rsidR="00C760FC" w:rsidRPr="002F412F" w:rsidRDefault="00C760FC" w:rsidP="00626F4B">
            <w:pPr>
              <w:rPr>
                <w:rFonts w:ascii="Verdana" w:hAnsi="Verdana"/>
                <w:color w:val="FF0000"/>
              </w:rPr>
            </w:pPr>
          </w:p>
        </w:tc>
        <w:tc>
          <w:tcPr>
            <w:tcW w:w="312" w:type="dxa"/>
          </w:tcPr>
          <w:p w14:paraId="7583EE4E" w14:textId="5BC56263" w:rsidR="00C760FC" w:rsidRPr="002F412F" w:rsidRDefault="007A6234" w:rsidP="00626F4B">
            <w:pPr>
              <w:rPr>
                <w:rFonts w:ascii="Verdana" w:hAnsi="Verdana"/>
                <w:b/>
              </w:rPr>
            </w:pPr>
            <w:r>
              <w:rPr>
                <w:rFonts w:ascii="Verdana" w:hAnsi="Verdana"/>
                <w:b/>
              </w:rPr>
              <w:t>.</w:t>
            </w:r>
          </w:p>
        </w:tc>
        <w:tc>
          <w:tcPr>
            <w:tcW w:w="8618" w:type="dxa"/>
          </w:tcPr>
          <w:p w14:paraId="72CD6ACD" w14:textId="4F216843" w:rsidR="00FE2767" w:rsidRDefault="007A6234" w:rsidP="007C2BF3">
            <w:pPr>
              <w:pStyle w:val="NoSpacing"/>
            </w:pPr>
            <w:r>
              <w:t xml:space="preserve">as the majority of face-to-face contact (visits, interviews, open days) during 2019-20 </w:t>
            </w:r>
            <w:r w:rsidR="006234EE">
              <w:t xml:space="preserve">had </w:t>
            </w:r>
            <w:r>
              <w:t xml:space="preserve">occurred prior to the advent of the </w:t>
            </w:r>
            <w:r w:rsidR="006234EE">
              <w:t>pandemic</w:t>
            </w:r>
            <w:r>
              <w:t>, there is arguably more disruption anticipated to the Marketing Strategy in 2020-21;</w:t>
            </w:r>
          </w:p>
          <w:p w14:paraId="615A0B56" w14:textId="09C8AE25" w:rsidR="007A6234" w:rsidRPr="002F412F" w:rsidRDefault="007A6234" w:rsidP="007C2BF3">
            <w:pPr>
              <w:pStyle w:val="NoSpacing"/>
            </w:pPr>
          </w:p>
        </w:tc>
      </w:tr>
      <w:tr w:rsidR="00C760FC" w14:paraId="44EA1BB9" w14:textId="77777777" w:rsidTr="00876574">
        <w:tc>
          <w:tcPr>
            <w:tcW w:w="534" w:type="dxa"/>
          </w:tcPr>
          <w:p w14:paraId="692E8AEA" w14:textId="77777777" w:rsidR="00C760FC" w:rsidRPr="002F412F" w:rsidRDefault="00C760FC" w:rsidP="00626F4B">
            <w:pPr>
              <w:rPr>
                <w:rFonts w:ascii="Verdana" w:hAnsi="Verdana"/>
                <w:color w:val="FF0000"/>
              </w:rPr>
            </w:pPr>
          </w:p>
        </w:tc>
        <w:tc>
          <w:tcPr>
            <w:tcW w:w="312" w:type="dxa"/>
          </w:tcPr>
          <w:p w14:paraId="399412B1" w14:textId="3E5C69E0" w:rsidR="00C760FC" w:rsidRPr="002F412F" w:rsidRDefault="007A6234" w:rsidP="00626F4B">
            <w:pPr>
              <w:rPr>
                <w:rFonts w:ascii="Verdana" w:hAnsi="Verdana"/>
                <w:b/>
              </w:rPr>
            </w:pPr>
            <w:r>
              <w:rPr>
                <w:rFonts w:ascii="Verdana" w:hAnsi="Verdana"/>
                <w:b/>
              </w:rPr>
              <w:t>.</w:t>
            </w:r>
          </w:p>
        </w:tc>
        <w:tc>
          <w:tcPr>
            <w:tcW w:w="8618" w:type="dxa"/>
          </w:tcPr>
          <w:p w14:paraId="03EC4631" w14:textId="3E053271" w:rsidR="00DA46D0" w:rsidRPr="000079FB" w:rsidRDefault="007A6234" w:rsidP="00C13A8E">
            <w:pPr>
              <w:pStyle w:val="NoSpacing"/>
              <w:rPr>
                <w:i/>
                <w:iCs/>
              </w:rPr>
            </w:pPr>
            <w:r>
              <w:t xml:space="preserve">a reduction in school liaison caused by assemblies, </w:t>
            </w:r>
            <w:r w:rsidR="000079FB">
              <w:t>c</w:t>
            </w:r>
            <w:r>
              <w:t xml:space="preserve">areers </w:t>
            </w:r>
            <w:r w:rsidR="000079FB">
              <w:t>f</w:t>
            </w:r>
            <w:r>
              <w:t xml:space="preserve">airs and taster sessions not </w:t>
            </w:r>
            <w:r w:rsidR="00F612AA">
              <w:t>being held</w:t>
            </w:r>
            <w:r w:rsidR="00BA178E">
              <w:t xml:space="preserve"> face-to-face</w:t>
            </w:r>
            <w:r>
              <w:t xml:space="preserve"> in partner schools </w:t>
            </w:r>
            <w:r w:rsidR="000079FB">
              <w:t>ha</w:t>
            </w:r>
            <w:r w:rsidR="00177B2E">
              <w:t>d</w:t>
            </w:r>
            <w:r w:rsidR="000079FB">
              <w:t xml:space="preserve"> </w:t>
            </w:r>
            <w:r w:rsidR="00177B2E">
              <w:t>required</w:t>
            </w:r>
            <w:r w:rsidR="000079FB">
              <w:t xml:space="preserve"> the development of online material </w:t>
            </w:r>
            <w:r w:rsidR="00F612AA">
              <w:t>for delivery</w:t>
            </w:r>
            <w:r w:rsidR="000079FB">
              <w:t xml:space="preserve"> to school classrooms, </w:t>
            </w:r>
            <w:r w:rsidR="00F612AA">
              <w:t>though</w:t>
            </w:r>
            <w:r w:rsidR="000079FB">
              <w:t xml:space="preserve"> take-up ha</w:t>
            </w:r>
            <w:r w:rsidR="00F612AA">
              <w:t>d</w:t>
            </w:r>
            <w:r w:rsidR="000079FB">
              <w:t xml:space="preserve"> been slow to date, which has impacted adversely on the number of applications received this year by comparison with the same point in 2019-20; </w:t>
            </w:r>
            <w:r w:rsidR="000079FB">
              <w:rPr>
                <w:i/>
                <w:iCs/>
              </w:rPr>
              <w:t>and</w:t>
            </w:r>
          </w:p>
          <w:p w14:paraId="009DE86C" w14:textId="23AB7676" w:rsidR="000079FB" w:rsidRPr="007C2BF3" w:rsidRDefault="000079FB" w:rsidP="00C13A8E">
            <w:pPr>
              <w:pStyle w:val="NoSpacing"/>
            </w:pPr>
          </w:p>
        </w:tc>
      </w:tr>
      <w:tr w:rsidR="007A6234" w14:paraId="5C1EBFC3" w14:textId="77777777" w:rsidTr="00876574">
        <w:tc>
          <w:tcPr>
            <w:tcW w:w="534" w:type="dxa"/>
          </w:tcPr>
          <w:p w14:paraId="310963AE" w14:textId="77777777" w:rsidR="007A6234" w:rsidRPr="002F412F" w:rsidRDefault="007A6234" w:rsidP="00626F4B">
            <w:pPr>
              <w:rPr>
                <w:rFonts w:ascii="Verdana" w:hAnsi="Verdana"/>
                <w:color w:val="FF0000"/>
              </w:rPr>
            </w:pPr>
          </w:p>
        </w:tc>
        <w:tc>
          <w:tcPr>
            <w:tcW w:w="312" w:type="dxa"/>
          </w:tcPr>
          <w:p w14:paraId="5041D690" w14:textId="7D61683E" w:rsidR="007A6234" w:rsidRDefault="007A6234" w:rsidP="00626F4B">
            <w:pPr>
              <w:rPr>
                <w:rFonts w:ascii="Verdana" w:hAnsi="Verdana"/>
                <w:b/>
              </w:rPr>
            </w:pPr>
            <w:r>
              <w:rPr>
                <w:rFonts w:ascii="Verdana" w:hAnsi="Verdana"/>
                <w:b/>
              </w:rPr>
              <w:t>.</w:t>
            </w:r>
          </w:p>
        </w:tc>
        <w:tc>
          <w:tcPr>
            <w:tcW w:w="8618" w:type="dxa"/>
          </w:tcPr>
          <w:p w14:paraId="08D12FAD" w14:textId="63213AC9" w:rsidR="007A6234" w:rsidRPr="007C2BF3" w:rsidRDefault="000079FB" w:rsidP="00C13A8E">
            <w:pPr>
              <w:pStyle w:val="NoSpacing"/>
            </w:pPr>
            <w:r>
              <w:t>the significant uncertainty attending forward planning because of the pandemic ha</w:t>
            </w:r>
            <w:r w:rsidR="00F612AA">
              <w:t>d</w:t>
            </w:r>
            <w:r>
              <w:t xml:space="preserve"> meant that a large contingent element </w:t>
            </w:r>
            <w:r w:rsidR="006234EE">
              <w:t>is required</w:t>
            </w:r>
            <w:r>
              <w:t xml:space="preserve"> in all plans so as to adjust to unpredictable events.</w:t>
            </w:r>
          </w:p>
        </w:tc>
      </w:tr>
    </w:tbl>
    <w:p w14:paraId="683B4DCA" w14:textId="77777777" w:rsidR="007A6234" w:rsidRDefault="007A6234"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7A6234" w:rsidRPr="000079FB" w14:paraId="7421098C" w14:textId="77777777" w:rsidTr="00876574">
        <w:tc>
          <w:tcPr>
            <w:tcW w:w="529" w:type="dxa"/>
            <w:shd w:val="clear" w:color="auto" w:fill="auto"/>
            <w:tcMar>
              <w:top w:w="0" w:type="dxa"/>
              <w:left w:w="108" w:type="dxa"/>
              <w:bottom w:w="0" w:type="dxa"/>
              <w:right w:w="108" w:type="dxa"/>
            </w:tcMar>
          </w:tcPr>
          <w:p w14:paraId="09B90B88" w14:textId="7849345C" w:rsidR="00FE2767" w:rsidRPr="000079FB" w:rsidRDefault="00FE2767" w:rsidP="004D59DC">
            <w:pPr>
              <w:pStyle w:val="NoSpacing"/>
              <w:rPr>
                <w:b/>
              </w:rPr>
            </w:pPr>
          </w:p>
        </w:tc>
        <w:tc>
          <w:tcPr>
            <w:tcW w:w="8935" w:type="dxa"/>
            <w:shd w:val="clear" w:color="auto" w:fill="auto"/>
            <w:tcMar>
              <w:top w:w="0" w:type="dxa"/>
              <w:left w:w="108" w:type="dxa"/>
              <w:bottom w:w="0" w:type="dxa"/>
              <w:right w:w="108" w:type="dxa"/>
            </w:tcMar>
          </w:tcPr>
          <w:p w14:paraId="28AF9CD9" w14:textId="0B2C9F40" w:rsidR="00FE2767" w:rsidRPr="000079FB" w:rsidRDefault="00FE2767" w:rsidP="004D59DC">
            <w:pPr>
              <w:rPr>
                <w:rFonts w:ascii="Verdana" w:hAnsi="Verdana"/>
              </w:rPr>
            </w:pPr>
            <w:r w:rsidRPr="000079FB">
              <w:rPr>
                <w:rFonts w:ascii="Verdana" w:hAnsi="Verdana"/>
              </w:rPr>
              <w:t xml:space="preserve">It was </w:t>
            </w:r>
            <w:r w:rsidR="000079FB">
              <w:rPr>
                <w:rFonts w:ascii="Verdana" w:hAnsi="Verdana"/>
              </w:rPr>
              <w:t>no</w:t>
            </w:r>
            <w:r w:rsidRPr="000079FB">
              <w:rPr>
                <w:rFonts w:ascii="Verdana" w:hAnsi="Verdana"/>
              </w:rPr>
              <w:t xml:space="preserve">ted </w:t>
            </w:r>
            <w:r w:rsidR="00D74DF4" w:rsidRPr="000079FB">
              <w:rPr>
                <w:rFonts w:ascii="Verdana" w:hAnsi="Verdana"/>
              </w:rPr>
              <w:t xml:space="preserve">in more detail </w:t>
            </w:r>
            <w:r w:rsidRPr="000079FB">
              <w:rPr>
                <w:rFonts w:ascii="Verdana" w:hAnsi="Verdana"/>
              </w:rPr>
              <w:t>that</w:t>
            </w:r>
            <w:r w:rsidR="000079FB">
              <w:rPr>
                <w:rFonts w:ascii="Verdana" w:hAnsi="Verdana"/>
              </w:rPr>
              <w:t>:</w:t>
            </w:r>
          </w:p>
        </w:tc>
      </w:tr>
    </w:tbl>
    <w:p w14:paraId="3278331A" w14:textId="77777777" w:rsidR="00FE2767" w:rsidRPr="000079FB" w:rsidRDefault="00FE2767" w:rsidP="00FE2767"/>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AE6B57" w:rsidRPr="000079FB" w14:paraId="20C17BBE" w14:textId="77777777" w:rsidTr="00876574">
        <w:tc>
          <w:tcPr>
            <w:tcW w:w="534" w:type="dxa"/>
          </w:tcPr>
          <w:p w14:paraId="484D2E02" w14:textId="77777777" w:rsidR="00FE2767" w:rsidRPr="000079FB" w:rsidRDefault="00FE2767" w:rsidP="004D59DC">
            <w:pPr>
              <w:rPr>
                <w:rFonts w:ascii="Verdana" w:hAnsi="Verdana"/>
              </w:rPr>
            </w:pPr>
          </w:p>
        </w:tc>
        <w:tc>
          <w:tcPr>
            <w:tcW w:w="312" w:type="dxa"/>
          </w:tcPr>
          <w:p w14:paraId="53EADA18" w14:textId="77777777" w:rsidR="00FE2767" w:rsidRPr="000079FB" w:rsidRDefault="00FE2767" w:rsidP="004D59DC">
            <w:pPr>
              <w:rPr>
                <w:rFonts w:ascii="Verdana" w:hAnsi="Verdana"/>
                <w:b/>
              </w:rPr>
            </w:pPr>
            <w:r w:rsidRPr="000079FB">
              <w:rPr>
                <w:rFonts w:ascii="Verdana" w:hAnsi="Verdana"/>
                <w:b/>
              </w:rPr>
              <w:t>.</w:t>
            </w:r>
          </w:p>
        </w:tc>
        <w:tc>
          <w:tcPr>
            <w:tcW w:w="8618" w:type="dxa"/>
          </w:tcPr>
          <w:p w14:paraId="107E9C79" w14:textId="173A2CEA" w:rsidR="007663F3" w:rsidRDefault="000079FB" w:rsidP="004D59DC">
            <w:pPr>
              <w:pStyle w:val="NoSpacing"/>
            </w:pPr>
            <w:r>
              <w:t>open days and advice evenings</w:t>
            </w:r>
            <w:r w:rsidR="00B8285A">
              <w:t xml:space="preserve"> will allow for online and face-to-face interviews, with smaller pathway-focused events replacing </w:t>
            </w:r>
            <w:r w:rsidR="007663F3">
              <w:t>an emphasis on large</w:t>
            </w:r>
            <w:r w:rsidR="00F612AA">
              <w:t>r</w:t>
            </w:r>
            <w:r w:rsidR="007663F3">
              <w:t>-scale arrangements;</w:t>
            </w:r>
          </w:p>
          <w:p w14:paraId="4C2E2154" w14:textId="2A8020FF" w:rsidR="00FE2767" w:rsidRPr="000079FB" w:rsidRDefault="00B8285A" w:rsidP="004D59DC">
            <w:pPr>
              <w:pStyle w:val="NoSpacing"/>
            </w:pPr>
            <w:r>
              <w:t xml:space="preserve"> </w:t>
            </w:r>
          </w:p>
        </w:tc>
      </w:tr>
      <w:tr w:rsidR="00AE6B57" w:rsidRPr="000079FB" w14:paraId="0ABFB9D7" w14:textId="77777777" w:rsidTr="00876574">
        <w:tc>
          <w:tcPr>
            <w:tcW w:w="534" w:type="dxa"/>
          </w:tcPr>
          <w:p w14:paraId="39B4F4E7" w14:textId="77777777" w:rsidR="00FE2767" w:rsidRPr="000079FB" w:rsidRDefault="00FE2767" w:rsidP="004D59DC">
            <w:pPr>
              <w:rPr>
                <w:rFonts w:ascii="Verdana" w:hAnsi="Verdana"/>
              </w:rPr>
            </w:pPr>
          </w:p>
        </w:tc>
        <w:tc>
          <w:tcPr>
            <w:tcW w:w="312" w:type="dxa"/>
          </w:tcPr>
          <w:p w14:paraId="6E240354" w14:textId="77777777" w:rsidR="00FE2767" w:rsidRPr="000079FB" w:rsidRDefault="00FE2767" w:rsidP="004D59DC">
            <w:pPr>
              <w:rPr>
                <w:rFonts w:ascii="Verdana" w:hAnsi="Verdana"/>
                <w:b/>
              </w:rPr>
            </w:pPr>
            <w:r w:rsidRPr="000079FB">
              <w:rPr>
                <w:rFonts w:ascii="Verdana" w:hAnsi="Verdana"/>
                <w:b/>
              </w:rPr>
              <w:t>.</w:t>
            </w:r>
          </w:p>
        </w:tc>
        <w:tc>
          <w:tcPr>
            <w:tcW w:w="8618" w:type="dxa"/>
          </w:tcPr>
          <w:p w14:paraId="6342D8C7" w14:textId="067E24AC" w:rsidR="007663F3" w:rsidRPr="007663F3" w:rsidRDefault="007663F3" w:rsidP="007663F3">
            <w:pPr>
              <w:rPr>
                <w:rFonts w:ascii="Verdana" w:hAnsi="Verdana"/>
              </w:rPr>
            </w:pPr>
            <w:r w:rsidRPr="007663F3">
              <w:rPr>
                <w:rFonts w:ascii="Verdana" w:hAnsi="Verdana"/>
              </w:rPr>
              <w:t>online school assembles are currently being live streamed to classrooms, with questions taken over a chat function, though school technical issues have meant that quality has been variable – development of a blended approach which includes the playing of some pre-prepared content alongside a presentation / Q+A will, it is hoped, be suitable for use later in the academic year;</w:t>
            </w:r>
          </w:p>
          <w:p w14:paraId="76A09D4E" w14:textId="3CF89722" w:rsidR="00D74DF4" w:rsidRPr="007663F3" w:rsidRDefault="00D74DF4" w:rsidP="004D59DC">
            <w:pPr>
              <w:pStyle w:val="NoSpacing"/>
            </w:pPr>
          </w:p>
        </w:tc>
      </w:tr>
      <w:tr w:rsidR="00AE6B57" w:rsidRPr="000079FB" w14:paraId="1186FEA4" w14:textId="77777777" w:rsidTr="00876574">
        <w:tc>
          <w:tcPr>
            <w:tcW w:w="534" w:type="dxa"/>
          </w:tcPr>
          <w:p w14:paraId="58D95E55" w14:textId="77777777" w:rsidR="00FE2767" w:rsidRPr="000079FB" w:rsidRDefault="00FE2767" w:rsidP="004D59DC">
            <w:pPr>
              <w:rPr>
                <w:rFonts w:ascii="Verdana" w:hAnsi="Verdana"/>
              </w:rPr>
            </w:pPr>
          </w:p>
        </w:tc>
        <w:tc>
          <w:tcPr>
            <w:tcW w:w="312" w:type="dxa"/>
          </w:tcPr>
          <w:p w14:paraId="2604D73F" w14:textId="7AD6EF45" w:rsidR="00FE2767" w:rsidRPr="000079FB" w:rsidRDefault="00FE2767" w:rsidP="004D59DC">
            <w:pPr>
              <w:rPr>
                <w:rFonts w:ascii="Verdana" w:hAnsi="Verdana"/>
                <w:b/>
              </w:rPr>
            </w:pPr>
            <w:r w:rsidRPr="000079FB">
              <w:rPr>
                <w:rFonts w:ascii="Verdana" w:hAnsi="Verdana"/>
                <w:b/>
              </w:rPr>
              <w:t>.</w:t>
            </w:r>
          </w:p>
        </w:tc>
        <w:tc>
          <w:tcPr>
            <w:tcW w:w="8618" w:type="dxa"/>
          </w:tcPr>
          <w:p w14:paraId="443E6259" w14:textId="798FB459" w:rsidR="007663F3" w:rsidRPr="007663F3" w:rsidRDefault="007663F3" w:rsidP="007663F3">
            <w:pPr>
              <w:rPr>
                <w:rFonts w:ascii="Verdana" w:hAnsi="Verdana"/>
              </w:rPr>
            </w:pPr>
            <w:r w:rsidRPr="007663F3">
              <w:rPr>
                <w:rFonts w:ascii="Verdana" w:hAnsi="Verdana"/>
              </w:rPr>
              <w:t xml:space="preserve">a college promotional video gives a clear overview of the </w:t>
            </w:r>
            <w:r w:rsidR="00F612AA">
              <w:rPr>
                <w:rFonts w:ascii="Verdana" w:hAnsi="Verdana"/>
              </w:rPr>
              <w:t>C</w:t>
            </w:r>
            <w:r w:rsidRPr="007663F3">
              <w:rPr>
                <w:rFonts w:ascii="Verdana" w:hAnsi="Verdana"/>
              </w:rPr>
              <w:t xml:space="preserve">ollege and all of the opportunities available, </w:t>
            </w:r>
            <w:r>
              <w:rPr>
                <w:rFonts w:ascii="Verdana" w:hAnsi="Verdana"/>
              </w:rPr>
              <w:t>together with</w:t>
            </w:r>
            <w:r w:rsidRPr="007663F3">
              <w:rPr>
                <w:rFonts w:ascii="Verdana" w:hAnsi="Verdana"/>
              </w:rPr>
              <w:t xml:space="preserve"> a short virtual tour hosted by student ambassadors</w:t>
            </w:r>
            <w:r>
              <w:rPr>
                <w:rFonts w:ascii="Verdana" w:hAnsi="Verdana"/>
              </w:rPr>
              <w:t>;</w:t>
            </w:r>
            <w:r w:rsidRPr="007663F3">
              <w:rPr>
                <w:rFonts w:ascii="Verdana" w:hAnsi="Verdana"/>
              </w:rPr>
              <w:t xml:space="preserve"> </w:t>
            </w:r>
          </w:p>
          <w:p w14:paraId="22C242BD" w14:textId="2D29EDD0" w:rsidR="00D74DF4" w:rsidRPr="007663F3" w:rsidRDefault="00D74DF4" w:rsidP="004D59DC">
            <w:pPr>
              <w:pStyle w:val="NoSpacing"/>
            </w:pPr>
          </w:p>
        </w:tc>
      </w:tr>
      <w:tr w:rsidR="007663F3" w:rsidRPr="000079FB" w14:paraId="33C9BEE6" w14:textId="77777777" w:rsidTr="00876574">
        <w:tc>
          <w:tcPr>
            <w:tcW w:w="534" w:type="dxa"/>
          </w:tcPr>
          <w:p w14:paraId="1E7226A8" w14:textId="77777777" w:rsidR="007663F3" w:rsidRPr="000079FB" w:rsidRDefault="007663F3" w:rsidP="004D59DC">
            <w:pPr>
              <w:rPr>
                <w:rFonts w:ascii="Verdana" w:hAnsi="Verdana"/>
              </w:rPr>
            </w:pPr>
          </w:p>
        </w:tc>
        <w:tc>
          <w:tcPr>
            <w:tcW w:w="312" w:type="dxa"/>
          </w:tcPr>
          <w:p w14:paraId="1C41BDB9" w14:textId="63DA4BE9" w:rsidR="007663F3" w:rsidRPr="000079FB" w:rsidRDefault="007663F3" w:rsidP="004D59DC">
            <w:pPr>
              <w:rPr>
                <w:rFonts w:ascii="Verdana" w:hAnsi="Verdana"/>
                <w:b/>
              </w:rPr>
            </w:pPr>
            <w:r>
              <w:rPr>
                <w:rFonts w:ascii="Verdana" w:hAnsi="Verdana"/>
                <w:b/>
              </w:rPr>
              <w:t>.</w:t>
            </w:r>
          </w:p>
        </w:tc>
        <w:tc>
          <w:tcPr>
            <w:tcW w:w="8618" w:type="dxa"/>
          </w:tcPr>
          <w:p w14:paraId="0BED473E" w14:textId="77777777" w:rsidR="007663F3" w:rsidRPr="00AE6B57" w:rsidRDefault="007663F3" w:rsidP="007663F3">
            <w:pPr>
              <w:rPr>
                <w:rFonts w:ascii="Verdana" w:hAnsi="Verdana"/>
              </w:rPr>
            </w:pPr>
            <w:r w:rsidRPr="00AE6B57">
              <w:rPr>
                <w:rFonts w:ascii="Verdana" w:hAnsi="Verdana"/>
              </w:rPr>
              <w:t>a short prom</w:t>
            </w:r>
            <w:r w:rsidR="00AE6B57" w:rsidRPr="00AE6B57">
              <w:rPr>
                <w:rFonts w:ascii="Verdana" w:hAnsi="Verdana"/>
              </w:rPr>
              <w:t>otional</w:t>
            </w:r>
            <w:r w:rsidRPr="00AE6B57">
              <w:rPr>
                <w:rFonts w:ascii="Verdana" w:hAnsi="Verdana"/>
              </w:rPr>
              <w:t xml:space="preserve"> video</w:t>
            </w:r>
            <w:r w:rsidR="00AE6B57" w:rsidRPr="00AE6B57">
              <w:rPr>
                <w:rFonts w:ascii="Verdana" w:hAnsi="Verdana"/>
              </w:rPr>
              <w:t xml:space="preserve"> is being developed</w:t>
            </w:r>
            <w:r w:rsidRPr="00AE6B57">
              <w:rPr>
                <w:rFonts w:ascii="Verdana" w:hAnsi="Verdana"/>
              </w:rPr>
              <w:t xml:space="preserve"> to introduce key staff and students at the </w:t>
            </w:r>
            <w:r w:rsidR="00AE6B57" w:rsidRPr="00AE6B57">
              <w:rPr>
                <w:rFonts w:ascii="Verdana" w:hAnsi="Verdana"/>
              </w:rPr>
              <w:t>C</w:t>
            </w:r>
            <w:r w:rsidRPr="00AE6B57">
              <w:rPr>
                <w:rFonts w:ascii="Verdana" w:hAnsi="Verdana"/>
              </w:rPr>
              <w:t xml:space="preserve">ollege, </w:t>
            </w:r>
            <w:r w:rsidR="00AE6B57" w:rsidRPr="00AE6B57">
              <w:rPr>
                <w:rFonts w:ascii="Verdana" w:hAnsi="Verdana"/>
              </w:rPr>
              <w:t xml:space="preserve">as well as </w:t>
            </w:r>
            <w:r w:rsidRPr="00AE6B57">
              <w:rPr>
                <w:rFonts w:ascii="Verdana" w:hAnsi="Verdana"/>
              </w:rPr>
              <w:t xml:space="preserve">a short </w:t>
            </w:r>
            <w:r w:rsidR="00AE6B57" w:rsidRPr="00AE6B57">
              <w:rPr>
                <w:rFonts w:ascii="Verdana" w:hAnsi="Verdana"/>
              </w:rPr>
              <w:t>“</w:t>
            </w:r>
            <w:r w:rsidRPr="00AE6B57">
              <w:rPr>
                <w:rFonts w:ascii="Verdana" w:hAnsi="Verdana"/>
              </w:rPr>
              <w:t>teaser trailer</w:t>
            </w:r>
            <w:r w:rsidR="00AE6B57" w:rsidRPr="00AE6B57">
              <w:rPr>
                <w:rFonts w:ascii="Verdana" w:hAnsi="Verdana"/>
              </w:rPr>
              <w:t>”</w:t>
            </w:r>
            <w:r w:rsidRPr="00AE6B57">
              <w:rPr>
                <w:rFonts w:ascii="Verdana" w:hAnsi="Verdana"/>
              </w:rPr>
              <w:t>, and a ‘walking/talking’ prospectus for a newly created virtual tour site</w:t>
            </w:r>
            <w:r w:rsidR="00AE6B57" w:rsidRPr="00AE6B57">
              <w:rPr>
                <w:rFonts w:ascii="Verdana" w:hAnsi="Verdana"/>
              </w:rPr>
              <w:t>, with the</w:t>
            </w:r>
            <w:r w:rsidRPr="00AE6B57">
              <w:rPr>
                <w:rFonts w:ascii="Verdana" w:hAnsi="Verdana"/>
              </w:rPr>
              <w:t xml:space="preserve"> intention </w:t>
            </w:r>
            <w:r w:rsidR="00AE6B57" w:rsidRPr="00AE6B57">
              <w:rPr>
                <w:rFonts w:ascii="Verdana" w:hAnsi="Verdana"/>
              </w:rPr>
              <w:t>of providing</w:t>
            </w:r>
            <w:r w:rsidRPr="00AE6B57">
              <w:rPr>
                <w:rFonts w:ascii="Verdana" w:hAnsi="Verdana"/>
              </w:rPr>
              <w:t xml:space="preserve"> a significant amount of interactive and video material for potential students to browse online</w:t>
            </w:r>
            <w:r w:rsidR="00AE6B57" w:rsidRPr="00AE6B57">
              <w:rPr>
                <w:rFonts w:ascii="Verdana" w:hAnsi="Verdana"/>
              </w:rPr>
              <w:t>;</w:t>
            </w:r>
          </w:p>
          <w:p w14:paraId="21181426" w14:textId="592C19F9" w:rsidR="00AE6B57" w:rsidRPr="00AE6B57" w:rsidRDefault="00AE6B57" w:rsidP="007663F3">
            <w:pPr>
              <w:rPr>
                <w:rFonts w:ascii="Verdana" w:hAnsi="Verdana"/>
              </w:rPr>
            </w:pPr>
          </w:p>
        </w:tc>
      </w:tr>
      <w:tr w:rsidR="007663F3" w:rsidRPr="000079FB" w14:paraId="1054C081" w14:textId="77777777" w:rsidTr="00876574">
        <w:tc>
          <w:tcPr>
            <w:tcW w:w="534" w:type="dxa"/>
          </w:tcPr>
          <w:p w14:paraId="5DAD4B84" w14:textId="77777777" w:rsidR="007663F3" w:rsidRPr="00AE6B57" w:rsidRDefault="007663F3" w:rsidP="004D59DC">
            <w:pPr>
              <w:rPr>
                <w:rFonts w:ascii="Verdana" w:hAnsi="Verdana"/>
              </w:rPr>
            </w:pPr>
          </w:p>
        </w:tc>
        <w:tc>
          <w:tcPr>
            <w:tcW w:w="312" w:type="dxa"/>
          </w:tcPr>
          <w:p w14:paraId="5C36F3DC" w14:textId="489F092E" w:rsidR="007663F3" w:rsidRPr="00AE6B57" w:rsidRDefault="007663F3" w:rsidP="004D59DC">
            <w:pPr>
              <w:rPr>
                <w:rFonts w:ascii="Verdana" w:hAnsi="Verdana"/>
                <w:b/>
              </w:rPr>
            </w:pPr>
            <w:r w:rsidRPr="00AE6B57">
              <w:rPr>
                <w:rFonts w:ascii="Verdana" w:hAnsi="Verdana"/>
                <w:b/>
              </w:rPr>
              <w:t>.</w:t>
            </w:r>
          </w:p>
        </w:tc>
        <w:tc>
          <w:tcPr>
            <w:tcW w:w="8618" w:type="dxa"/>
          </w:tcPr>
          <w:p w14:paraId="3B5FF5EE" w14:textId="4E98DF8E" w:rsidR="007663F3" w:rsidRPr="00AE6B57" w:rsidRDefault="00AE6B57" w:rsidP="007663F3">
            <w:pPr>
              <w:rPr>
                <w:rFonts w:ascii="Verdana" w:hAnsi="Verdana"/>
              </w:rPr>
            </w:pPr>
            <w:r w:rsidRPr="00AE6B57">
              <w:rPr>
                <w:rFonts w:ascii="Verdana" w:hAnsi="Verdana"/>
              </w:rPr>
              <w:t xml:space="preserve">virtual student interviews will commence in November, with each session </w:t>
            </w:r>
            <w:r w:rsidR="00F612AA">
              <w:rPr>
                <w:rFonts w:ascii="Verdana" w:hAnsi="Verdana"/>
              </w:rPr>
              <w:t>commenced by</w:t>
            </w:r>
            <w:r w:rsidRPr="00AE6B57">
              <w:rPr>
                <w:rFonts w:ascii="Verdana" w:hAnsi="Verdana"/>
              </w:rPr>
              <w:t xml:space="preserve"> a Zoom meeting to welcome students to the College and </w:t>
            </w:r>
            <w:r w:rsidR="00F612AA">
              <w:rPr>
                <w:rFonts w:ascii="Verdana" w:hAnsi="Verdana"/>
              </w:rPr>
              <w:t>the playing of</w:t>
            </w:r>
            <w:r w:rsidRPr="00AE6B57">
              <w:rPr>
                <w:rFonts w:ascii="Verdana" w:hAnsi="Verdana"/>
              </w:rPr>
              <w:t xml:space="preserve"> a short film explaining the application and enrolment process;</w:t>
            </w:r>
          </w:p>
          <w:p w14:paraId="43362C78" w14:textId="66147F2E" w:rsidR="00AE6B57" w:rsidRPr="00AE6B57" w:rsidRDefault="00AE6B57" w:rsidP="007663F3">
            <w:pPr>
              <w:rPr>
                <w:rFonts w:ascii="Verdana" w:hAnsi="Verdana"/>
              </w:rPr>
            </w:pPr>
          </w:p>
        </w:tc>
      </w:tr>
      <w:tr w:rsidR="007663F3" w:rsidRPr="000079FB" w14:paraId="0938D1EE" w14:textId="77777777" w:rsidTr="00876574">
        <w:tc>
          <w:tcPr>
            <w:tcW w:w="534" w:type="dxa"/>
          </w:tcPr>
          <w:p w14:paraId="1E69BE3A" w14:textId="77777777" w:rsidR="007663F3" w:rsidRPr="00AE6B57" w:rsidRDefault="007663F3" w:rsidP="004D59DC">
            <w:pPr>
              <w:rPr>
                <w:rFonts w:ascii="Verdana" w:hAnsi="Verdana"/>
              </w:rPr>
            </w:pPr>
          </w:p>
        </w:tc>
        <w:tc>
          <w:tcPr>
            <w:tcW w:w="312" w:type="dxa"/>
          </w:tcPr>
          <w:p w14:paraId="59B374BC" w14:textId="182FF3E5" w:rsidR="007663F3" w:rsidRPr="00AE6B57" w:rsidRDefault="007663F3" w:rsidP="004D59DC">
            <w:pPr>
              <w:rPr>
                <w:rFonts w:ascii="Verdana" w:hAnsi="Verdana"/>
                <w:b/>
              </w:rPr>
            </w:pPr>
            <w:r w:rsidRPr="00AE6B57">
              <w:rPr>
                <w:rFonts w:ascii="Verdana" w:hAnsi="Verdana"/>
                <w:b/>
              </w:rPr>
              <w:t>.</w:t>
            </w:r>
          </w:p>
        </w:tc>
        <w:tc>
          <w:tcPr>
            <w:tcW w:w="8618" w:type="dxa"/>
          </w:tcPr>
          <w:p w14:paraId="5E70AD5D" w14:textId="5ACBA449" w:rsidR="007663F3" w:rsidRDefault="00AE6B57" w:rsidP="007663F3">
            <w:pPr>
              <w:rPr>
                <w:rFonts w:ascii="Verdana" w:hAnsi="Verdana"/>
              </w:rPr>
            </w:pPr>
            <w:r w:rsidRPr="00AE6B57">
              <w:rPr>
                <w:rFonts w:ascii="Verdana" w:hAnsi="Verdana"/>
              </w:rPr>
              <w:t>an offer</w:t>
            </w:r>
            <w:r>
              <w:rPr>
                <w:rFonts w:ascii="Verdana" w:hAnsi="Verdana"/>
              </w:rPr>
              <w:t xml:space="preserve"> will be made</w:t>
            </w:r>
            <w:r w:rsidRPr="00AE6B57">
              <w:rPr>
                <w:rFonts w:ascii="Verdana" w:hAnsi="Verdana"/>
              </w:rPr>
              <w:t xml:space="preserve"> to local schools for an</w:t>
            </w:r>
            <w:r w:rsidR="00F612AA">
              <w:rPr>
                <w:rFonts w:ascii="Verdana" w:hAnsi="Verdana"/>
              </w:rPr>
              <w:t xml:space="preserve"> after school</w:t>
            </w:r>
            <w:r w:rsidRPr="00AE6B57">
              <w:rPr>
                <w:rFonts w:ascii="Verdana" w:hAnsi="Verdana"/>
              </w:rPr>
              <w:t xml:space="preserve"> on-site experience </w:t>
            </w:r>
            <w:r w:rsidR="00F612AA">
              <w:rPr>
                <w:rFonts w:ascii="Verdana" w:hAnsi="Verdana"/>
              </w:rPr>
              <w:t xml:space="preserve">to </w:t>
            </w:r>
            <w:r w:rsidRPr="00AE6B57">
              <w:rPr>
                <w:rFonts w:ascii="Verdana" w:hAnsi="Verdana"/>
              </w:rPr>
              <w:t xml:space="preserve">consist of a short tour / college overview and interview session - capped at 15-20 students with </w:t>
            </w:r>
            <w:r w:rsidR="00F612AA">
              <w:rPr>
                <w:rFonts w:ascii="Verdana" w:hAnsi="Verdana"/>
              </w:rPr>
              <w:t>the College</w:t>
            </w:r>
            <w:r w:rsidRPr="00AE6B57">
              <w:rPr>
                <w:rFonts w:ascii="Verdana" w:hAnsi="Verdana"/>
              </w:rPr>
              <w:t xml:space="preserve"> offering a shuttle bus service to and from </w:t>
            </w:r>
            <w:r w:rsidR="00F612AA">
              <w:rPr>
                <w:rFonts w:ascii="Verdana" w:hAnsi="Verdana"/>
              </w:rPr>
              <w:t>the school</w:t>
            </w:r>
            <w:r>
              <w:rPr>
                <w:rFonts w:ascii="Verdana" w:hAnsi="Verdana"/>
              </w:rPr>
              <w:t>;</w:t>
            </w:r>
          </w:p>
          <w:p w14:paraId="54923CF1" w14:textId="72C0830E" w:rsidR="00AE6B57" w:rsidRPr="00AE6B57" w:rsidRDefault="00AE6B57" w:rsidP="007663F3">
            <w:pPr>
              <w:rPr>
                <w:rFonts w:ascii="Verdana" w:hAnsi="Verdana"/>
              </w:rPr>
            </w:pPr>
          </w:p>
        </w:tc>
      </w:tr>
      <w:tr w:rsidR="00AE6B57" w:rsidRPr="000079FB" w14:paraId="19E8C3F9" w14:textId="77777777" w:rsidTr="00876574">
        <w:tc>
          <w:tcPr>
            <w:tcW w:w="534" w:type="dxa"/>
          </w:tcPr>
          <w:p w14:paraId="02E392FA" w14:textId="77777777" w:rsidR="00FE2767" w:rsidRPr="000079FB" w:rsidRDefault="00FE2767" w:rsidP="004D59DC">
            <w:pPr>
              <w:rPr>
                <w:rFonts w:ascii="Verdana" w:hAnsi="Verdana"/>
              </w:rPr>
            </w:pPr>
          </w:p>
        </w:tc>
        <w:tc>
          <w:tcPr>
            <w:tcW w:w="312" w:type="dxa"/>
          </w:tcPr>
          <w:p w14:paraId="6F8A398A" w14:textId="22A617D7" w:rsidR="00FE2767" w:rsidRPr="000079FB" w:rsidRDefault="00FE2767" w:rsidP="004D59DC">
            <w:pPr>
              <w:rPr>
                <w:rFonts w:ascii="Verdana" w:hAnsi="Verdana"/>
                <w:b/>
              </w:rPr>
            </w:pPr>
            <w:r w:rsidRPr="000079FB">
              <w:rPr>
                <w:rFonts w:ascii="Verdana" w:hAnsi="Verdana"/>
                <w:b/>
              </w:rPr>
              <w:t>.</w:t>
            </w:r>
          </w:p>
        </w:tc>
        <w:tc>
          <w:tcPr>
            <w:tcW w:w="8618" w:type="dxa"/>
          </w:tcPr>
          <w:p w14:paraId="21DD502A" w14:textId="77777777" w:rsidR="00D74DF4" w:rsidRDefault="00AE6B57" w:rsidP="004D59DC">
            <w:pPr>
              <w:pStyle w:val="NoSpacing"/>
            </w:pPr>
            <w:r>
              <w:t>v</w:t>
            </w:r>
            <w:r w:rsidRPr="00AE6B57">
              <w:t>irtual application sessions will also be offered as an alternative to school groups</w:t>
            </w:r>
            <w:r>
              <w:t>;</w:t>
            </w:r>
          </w:p>
          <w:p w14:paraId="24CE503C" w14:textId="2D0131B9" w:rsidR="00AE6B57" w:rsidRPr="000079FB" w:rsidRDefault="00AE6B57" w:rsidP="004D59DC">
            <w:pPr>
              <w:pStyle w:val="NoSpacing"/>
            </w:pPr>
          </w:p>
        </w:tc>
      </w:tr>
      <w:tr w:rsidR="00AE6B57" w:rsidRPr="000079FB" w14:paraId="3D4F4A44" w14:textId="77777777" w:rsidTr="00876574">
        <w:tc>
          <w:tcPr>
            <w:tcW w:w="534" w:type="dxa"/>
          </w:tcPr>
          <w:p w14:paraId="215562FE" w14:textId="77777777" w:rsidR="00AE6B57" w:rsidRPr="000079FB" w:rsidRDefault="00AE6B57" w:rsidP="004D59DC">
            <w:pPr>
              <w:rPr>
                <w:rFonts w:ascii="Verdana" w:hAnsi="Verdana"/>
              </w:rPr>
            </w:pPr>
          </w:p>
        </w:tc>
        <w:tc>
          <w:tcPr>
            <w:tcW w:w="312" w:type="dxa"/>
          </w:tcPr>
          <w:p w14:paraId="63C37D84" w14:textId="4256021C" w:rsidR="00AE6B57" w:rsidRPr="000079FB" w:rsidRDefault="00AE6B57" w:rsidP="004D59DC">
            <w:pPr>
              <w:rPr>
                <w:rFonts w:ascii="Verdana" w:hAnsi="Verdana"/>
                <w:b/>
              </w:rPr>
            </w:pPr>
            <w:r>
              <w:rPr>
                <w:rFonts w:ascii="Verdana" w:hAnsi="Verdana"/>
                <w:b/>
              </w:rPr>
              <w:t>.</w:t>
            </w:r>
          </w:p>
        </w:tc>
        <w:tc>
          <w:tcPr>
            <w:tcW w:w="8618" w:type="dxa"/>
          </w:tcPr>
          <w:p w14:paraId="36299F06" w14:textId="24582223" w:rsidR="00AE6B57" w:rsidRPr="0013381E" w:rsidRDefault="00AE6B57" w:rsidP="004D59DC">
            <w:pPr>
              <w:pStyle w:val="NoSpacing"/>
              <w:rPr>
                <w:i/>
                <w:iCs/>
              </w:rPr>
            </w:pPr>
            <w:r>
              <w:t xml:space="preserve">a menu </w:t>
            </w:r>
            <w:r w:rsidR="00F612AA">
              <w:t xml:space="preserve">on the theme </w:t>
            </w:r>
            <w:r>
              <w:t xml:space="preserve">of ‘find out more about…’ from subject teachers at </w:t>
            </w:r>
            <w:proofErr w:type="spellStart"/>
            <w:r>
              <w:t>Monoux</w:t>
            </w:r>
            <w:proofErr w:type="spellEnd"/>
            <w:r>
              <w:t xml:space="preserve"> has been advertised to schools, to be hosted over Zoom;</w:t>
            </w:r>
            <w:r w:rsidR="0013381E">
              <w:t xml:space="preserve"> </w:t>
            </w:r>
            <w:r w:rsidR="0013381E">
              <w:rPr>
                <w:i/>
                <w:iCs/>
              </w:rPr>
              <w:t>and</w:t>
            </w:r>
          </w:p>
          <w:p w14:paraId="5DB32996" w14:textId="72FB84FC" w:rsidR="00AE6B57" w:rsidRPr="000079FB" w:rsidRDefault="00AE6B57" w:rsidP="004D59DC">
            <w:pPr>
              <w:pStyle w:val="NoSpacing"/>
            </w:pPr>
          </w:p>
        </w:tc>
      </w:tr>
      <w:tr w:rsidR="00AE6B57" w:rsidRPr="000079FB" w14:paraId="3531717D" w14:textId="77777777" w:rsidTr="00876574">
        <w:tc>
          <w:tcPr>
            <w:tcW w:w="534" w:type="dxa"/>
          </w:tcPr>
          <w:p w14:paraId="25E0E653" w14:textId="77777777" w:rsidR="00AE6B57" w:rsidRPr="000079FB" w:rsidRDefault="00AE6B57" w:rsidP="004D59DC">
            <w:pPr>
              <w:rPr>
                <w:rFonts w:ascii="Verdana" w:hAnsi="Verdana"/>
              </w:rPr>
            </w:pPr>
          </w:p>
        </w:tc>
        <w:tc>
          <w:tcPr>
            <w:tcW w:w="312" w:type="dxa"/>
          </w:tcPr>
          <w:p w14:paraId="3FF0CCE7" w14:textId="789BB23A" w:rsidR="00AE6B57" w:rsidRPr="000079FB" w:rsidRDefault="00AE6B57" w:rsidP="004D59DC">
            <w:pPr>
              <w:rPr>
                <w:rFonts w:ascii="Verdana" w:hAnsi="Verdana"/>
                <w:b/>
              </w:rPr>
            </w:pPr>
            <w:r>
              <w:rPr>
                <w:rFonts w:ascii="Verdana" w:hAnsi="Verdana"/>
                <w:b/>
              </w:rPr>
              <w:t>.</w:t>
            </w:r>
          </w:p>
        </w:tc>
        <w:tc>
          <w:tcPr>
            <w:tcW w:w="8618" w:type="dxa"/>
          </w:tcPr>
          <w:p w14:paraId="13F19017" w14:textId="7DCA9E3E" w:rsidR="00AE6B57" w:rsidRPr="000079FB" w:rsidRDefault="0013381E" w:rsidP="004D59DC">
            <w:pPr>
              <w:pStyle w:val="NoSpacing"/>
            </w:pPr>
            <w:r>
              <w:t>o</w:t>
            </w:r>
            <w:r w:rsidR="00AE6B57" w:rsidRPr="002F6B06">
              <w:t xml:space="preserve">ngoing </w:t>
            </w:r>
            <w:r>
              <w:t>m</w:t>
            </w:r>
            <w:r w:rsidR="00AE6B57" w:rsidRPr="002F6B06">
              <w:t xml:space="preserve">arketing throughout all neighbouring boroughs is continuing, </w:t>
            </w:r>
            <w:r>
              <w:t xml:space="preserve">with </w:t>
            </w:r>
            <w:r w:rsidR="00AE6B57" w:rsidRPr="002F6B06">
              <w:t>school liaison emails and flyers also being sent to schools</w:t>
            </w:r>
            <w:r w:rsidR="00AE6B57">
              <w:t xml:space="preserve"> to encourage applications</w:t>
            </w:r>
            <w:r>
              <w:t xml:space="preserve">, </w:t>
            </w:r>
            <w:r w:rsidR="00AE6B57">
              <w:t>includ</w:t>
            </w:r>
            <w:r w:rsidR="00F612AA">
              <w:t>ing</w:t>
            </w:r>
            <w:r w:rsidR="00AE6B57">
              <w:t xml:space="preserve"> information on the </w:t>
            </w:r>
            <w:r w:rsidR="00F612AA">
              <w:t>desirability</w:t>
            </w:r>
            <w:r w:rsidR="00AE6B57">
              <w:t xml:space="preserve"> of </w:t>
            </w:r>
            <w:r w:rsidR="00F612AA">
              <w:t>early application</w:t>
            </w:r>
            <w:r w:rsidR="00AE6B57">
              <w:t xml:space="preserve">, as places are </w:t>
            </w:r>
            <w:r w:rsidR="00F612AA">
              <w:t xml:space="preserve">offered on a </w:t>
            </w:r>
            <w:r w:rsidR="00AE6B57">
              <w:t>first come first served</w:t>
            </w:r>
            <w:r w:rsidR="00F612AA">
              <w:t xml:space="preserve"> basis to those with the predicted minimum entry qualifications,</w:t>
            </w:r>
            <w:r w:rsidR="00AE6B57">
              <w:t xml:space="preserve"> and many courses </w:t>
            </w:r>
            <w:r w:rsidR="00F612AA">
              <w:t xml:space="preserve">had </w:t>
            </w:r>
            <w:r>
              <w:t>filled up</w:t>
            </w:r>
            <w:r w:rsidR="00AE6B57">
              <w:t xml:space="preserve"> quickly </w:t>
            </w:r>
            <w:r>
              <w:t>in the previous</w:t>
            </w:r>
            <w:r w:rsidR="00AE6B57">
              <w:t xml:space="preserve"> year</w:t>
            </w:r>
            <w:r>
              <w:t>.</w:t>
            </w:r>
          </w:p>
        </w:tc>
      </w:tr>
    </w:tbl>
    <w:p w14:paraId="5B658ABA" w14:textId="123C3BB6" w:rsidR="00B8285A" w:rsidRDefault="00B8285A" w:rsidP="00626F4B">
      <w:pPr>
        <w:rPr>
          <w:rFonts w:ascii="Verdana" w:hAnsi="Verdana"/>
          <w:color w:val="FF0000"/>
        </w:rPr>
      </w:pPr>
    </w:p>
    <w:p w14:paraId="2BCB6898" w14:textId="77777777" w:rsidR="00876574" w:rsidRDefault="00876574" w:rsidP="00626F4B">
      <w:pPr>
        <w:rPr>
          <w:rFonts w:ascii="Verdana" w:hAnsi="Verdana"/>
          <w:color w:val="FF0000"/>
        </w:rPr>
      </w:pPr>
    </w:p>
    <w:p w14:paraId="41BBF8CB" w14:textId="77777777" w:rsidR="00870364" w:rsidRDefault="00870364"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E0A6D" w:rsidRPr="005D6214" w14:paraId="5AB9A686" w14:textId="77777777" w:rsidTr="00876574">
        <w:tc>
          <w:tcPr>
            <w:tcW w:w="529" w:type="dxa"/>
            <w:shd w:val="clear" w:color="auto" w:fill="auto"/>
            <w:tcMar>
              <w:top w:w="0" w:type="dxa"/>
              <w:left w:w="108" w:type="dxa"/>
              <w:bottom w:w="0" w:type="dxa"/>
              <w:right w:w="108" w:type="dxa"/>
            </w:tcMar>
          </w:tcPr>
          <w:p w14:paraId="5DE4F88F" w14:textId="77777777" w:rsidR="006E0A6D" w:rsidRPr="005D6214" w:rsidRDefault="006E0A6D" w:rsidP="004D59DC">
            <w:pPr>
              <w:pStyle w:val="NoSpacing"/>
              <w:rPr>
                <w:b/>
                <w:color w:val="FF0000"/>
              </w:rPr>
            </w:pPr>
          </w:p>
        </w:tc>
        <w:tc>
          <w:tcPr>
            <w:tcW w:w="8935" w:type="dxa"/>
            <w:shd w:val="clear" w:color="auto" w:fill="auto"/>
            <w:tcMar>
              <w:top w:w="0" w:type="dxa"/>
              <w:left w:w="108" w:type="dxa"/>
              <w:bottom w:w="0" w:type="dxa"/>
              <w:right w:w="108" w:type="dxa"/>
            </w:tcMar>
          </w:tcPr>
          <w:p w14:paraId="34206B1A" w14:textId="71D4397C" w:rsidR="006E0A6D" w:rsidRPr="00B8285A" w:rsidRDefault="00870364" w:rsidP="004D59DC">
            <w:pPr>
              <w:rPr>
                <w:rFonts w:ascii="Verdana" w:hAnsi="Verdana"/>
                <w:color w:val="FF0000"/>
              </w:rPr>
            </w:pPr>
            <w:r>
              <w:rPr>
                <w:rFonts w:ascii="Verdana" w:hAnsi="Verdana"/>
                <w:bCs/>
              </w:rPr>
              <w:t>The following matters were emphasised by members:</w:t>
            </w:r>
          </w:p>
        </w:tc>
      </w:tr>
    </w:tbl>
    <w:p w14:paraId="185AA2A8" w14:textId="7852133B" w:rsidR="00D00B00" w:rsidRDefault="00D00B00"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870364" w:rsidRPr="00AE6B57" w14:paraId="6A274E81" w14:textId="77777777" w:rsidTr="00876574">
        <w:tc>
          <w:tcPr>
            <w:tcW w:w="534" w:type="dxa"/>
          </w:tcPr>
          <w:p w14:paraId="6E0BBE3C" w14:textId="77777777" w:rsidR="00870364" w:rsidRPr="00AE6B57" w:rsidRDefault="00870364" w:rsidP="00870364">
            <w:pPr>
              <w:rPr>
                <w:rFonts w:ascii="Verdana" w:hAnsi="Verdana"/>
              </w:rPr>
            </w:pPr>
          </w:p>
        </w:tc>
        <w:tc>
          <w:tcPr>
            <w:tcW w:w="312" w:type="dxa"/>
          </w:tcPr>
          <w:p w14:paraId="538DF41D" w14:textId="77777777" w:rsidR="00870364" w:rsidRPr="00AE6B57" w:rsidRDefault="00870364" w:rsidP="00870364">
            <w:pPr>
              <w:rPr>
                <w:rFonts w:ascii="Verdana" w:hAnsi="Verdana"/>
                <w:b/>
              </w:rPr>
            </w:pPr>
            <w:r w:rsidRPr="00AE6B57">
              <w:rPr>
                <w:rFonts w:ascii="Verdana" w:hAnsi="Verdana"/>
                <w:b/>
              </w:rPr>
              <w:t>.</w:t>
            </w:r>
          </w:p>
        </w:tc>
        <w:tc>
          <w:tcPr>
            <w:tcW w:w="8618" w:type="dxa"/>
          </w:tcPr>
          <w:p w14:paraId="522C98A3" w14:textId="7C40C978" w:rsidR="00870364" w:rsidRDefault="004020B9" w:rsidP="00870364">
            <w:pPr>
              <w:rPr>
                <w:rFonts w:ascii="Verdana" w:hAnsi="Verdana"/>
              </w:rPr>
            </w:pPr>
            <w:r>
              <w:rPr>
                <w:rFonts w:ascii="Verdana" w:hAnsi="Verdana"/>
              </w:rPr>
              <w:t>the importance of producing a fully interactive College online prospectus by December or early January at the latest;</w:t>
            </w:r>
          </w:p>
          <w:p w14:paraId="72FCDFEC" w14:textId="1A232AC5" w:rsidR="004020B9" w:rsidRPr="00AE6B57" w:rsidRDefault="004020B9" w:rsidP="00870364">
            <w:pPr>
              <w:rPr>
                <w:rFonts w:ascii="Verdana" w:hAnsi="Verdana"/>
              </w:rPr>
            </w:pPr>
          </w:p>
        </w:tc>
      </w:tr>
      <w:tr w:rsidR="00870364" w:rsidRPr="000079FB" w14:paraId="58354BCA" w14:textId="77777777" w:rsidTr="00876574">
        <w:tc>
          <w:tcPr>
            <w:tcW w:w="534" w:type="dxa"/>
          </w:tcPr>
          <w:p w14:paraId="00FB88C1" w14:textId="77777777" w:rsidR="00870364" w:rsidRPr="000079FB" w:rsidRDefault="00870364" w:rsidP="00870364">
            <w:pPr>
              <w:rPr>
                <w:rFonts w:ascii="Verdana" w:hAnsi="Verdana"/>
              </w:rPr>
            </w:pPr>
          </w:p>
        </w:tc>
        <w:tc>
          <w:tcPr>
            <w:tcW w:w="312" w:type="dxa"/>
          </w:tcPr>
          <w:p w14:paraId="4CB9F814" w14:textId="77777777" w:rsidR="00870364" w:rsidRPr="000079FB" w:rsidRDefault="00870364" w:rsidP="00870364">
            <w:pPr>
              <w:rPr>
                <w:rFonts w:ascii="Verdana" w:hAnsi="Verdana"/>
                <w:b/>
              </w:rPr>
            </w:pPr>
            <w:r w:rsidRPr="000079FB">
              <w:rPr>
                <w:rFonts w:ascii="Verdana" w:hAnsi="Verdana"/>
                <w:b/>
              </w:rPr>
              <w:t>.</w:t>
            </w:r>
          </w:p>
        </w:tc>
        <w:tc>
          <w:tcPr>
            <w:tcW w:w="8618" w:type="dxa"/>
          </w:tcPr>
          <w:p w14:paraId="0112B3FB" w14:textId="7199E1E7" w:rsidR="00870364" w:rsidRDefault="004020B9" w:rsidP="00870364">
            <w:pPr>
              <w:pStyle w:val="NoSpacing"/>
            </w:pPr>
            <w:r>
              <w:t xml:space="preserve">the need to conduct interviews and make offers to students while the market stays </w:t>
            </w:r>
            <w:r w:rsidR="006234EE">
              <w:t xml:space="preserve">relatively </w:t>
            </w:r>
            <w:r>
              <w:t>non-volatile;</w:t>
            </w:r>
          </w:p>
          <w:p w14:paraId="5D386987" w14:textId="754C096E" w:rsidR="004020B9" w:rsidRPr="000079FB" w:rsidRDefault="004020B9" w:rsidP="00870364">
            <w:pPr>
              <w:pStyle w:val="NoSpacing"/>
            </w:pPr>
          </w:p>
        </w:tc>
      </w:tr>
      <w:tr w:rsidR="00870364" w:rsidRPr="000079FB" w14:paraId="6E3BD9BD" w14:textId="77777777" w:rsidTr="00876574">
        <w:tc>
          <w:tcPr>
            <w:tcW w:w="534" w:type="dxa"/>
          </w:tcPr>
          <w:p w14:paraId="0FA965DE" w14:textId="77777777" w:rsidR="00870364" w:rsidRPr="000079FB" w:rsidRDefault="00870364" w:rsidP="00870364">
            <w:pPr>
              <w:rPr>
                <w:rFonts w:ascii="Verdana" w:hAnsi="Verdana"/>
              </w:rPr>
            </w:pPr>
          </w:p>
        </w:tc>
        <w:tc>
          <w:tcPr>
            <w:tcW w:w="312" w:type="dxa"/>
          </w:tcPr>
          <w:p w14:paraId="70B5B52F" w14:textId="77777777" w:rsidR="00870364" w:rsidRPr="000079FB" w:rsidRDefault="00870364" w:rsidP="00870364">
            <w:pPr>
              <w:rPr>
                <w:rFonts w:ascii="Verdana" w:hAnsi="Verdana"/>
                <w:b/>
              </w:rPr>
            </w:pPr>
            <w:r>
              <w:rPr>
                <w:rFonts w:ascii="Verdana" w:hAnsi="Verdana"/>
                <w:b/>
              </w:rPr>
              <w:t>.</w:t>
            </w:r>
          </w:p>
        </w:tc>
        <w:tc>
          <w:tcPr>
            <w:tcW w:w="8618" w:type="dxa"/>
          </w:tcPr>
          <w:p w14:paraId="4F858610" w14:textId="222B4B6B" w:rsidR="00870364" w:rsidRPr="00D05E08" w:rsidRDefault="00D05E08" w:rsidP="00870364">
            <w:pPr>
              <w:pStyle w:val="NoSpacing"/>
            </w:pPr>
            <w:r w:rsidRPr="00D05E08">
              <w:t>the need to plan for the likelihood of continued social distancing affecting the 2021-22 year, including the 2021 enrolment process, which would entail significant changes to marketing plans and programmes</w:t>
            </w:r>
            <w:r w:rsidR="004020B9" w:rsidRPr="00D05E08">
              <w:t>;</w:t>
            </w:r>
          </w:p>
          <w:p w14:paraId="1B7B8F79" w14:textId="76D7CAA1" w:rsidR="004020B9" w:rsidRPr="000079FB" w:rsidRDefault="004020B9" w:rsidP="00870364">
            <w:pPr>
              <w:pStyle w:val="NoSpacing"/>
            </w:pPr>
          </w:p>
        </w:tc>
      </w:tr>
      <w:tr w:rsidR="00870364" w:rsidRPr="000079FB" w14:paraId="43905A73" w14:textId="77777777" w:rsidTr="00876574">
        <w:tc>
          <w:tcPr>
            <w:tcW w:w="534" w:type="dxa"/>
          </w:tcPr>
          <w:p w14:paraId="091D1E20" w14:textId="77777777" w:rsidR="00870364" w:rsidRPr="000079FB" w:rsidRDefault="00870364" w:rsidP="00870364">
            <w:pPr>
              <w:rPr>
                <w:rFonts w:ascii="Verdana" w:hAnsi="Verdana"/>
              </w:rPr>
            </w:pPr>
          </w:p>
        </w:tc>
        <w:tc>
          <w:tcPr>
            <w:tcW w:w="312" w:type="dxa"/>
          </w:tcPr>
          <w:p w14:paraId="3D196BD8" w14:textId="77777777" w:rsidR="00870364" w:rsidRPr="000079FB" w:rsidRDefault="00870364" w:rsidP="00870364">
            <w:pPr>
              <w:rPr>
                <w:rFonts w:ascii="Verdana" w:hAnsi="Verdana"/>
                <w:b/>
              </w:rPr>
            </w:pPr>
            <w:r>
              <w:rPr>
                <w:rFonts w:ascii="Verdana" w:hAnsi="Verdana"/>
                <w:b/>
              </w:rPr>
              <w:t>.</w:t>
            </w:r>
          </w:p>
        </w:tc>
        <w:tc>
          <w:tcPr>
            <w:tcW w:w="8618" w:type="dxa"/>
          </w:tcPr>
          <w:p w14:paraId="71D6F5A1" w14:textId="77777777" w:rsidR="004020B9" w:rsidRDefault="004020B9" w:rsidP="002A16EC">
            <w:pPr>
              <w:pStyle w:val="NoSpacing"/>
            </w:pPr>
            <w:r>
              <w:t xml:space="preserve">the need to achieve a </w:t>
            </w:r>
            <w:r w:rsidR="00F04747">
              <w:t xml:space="preserve">good </w:t>
            </w:r>
            <w:r>
              <w:t xml:space="preserve">working balance between internal progression and external recruitment in 2021 – </w:t>
            </w:r>
            <w:r w:rsidR="006234EE">
              <w:t>in particular, that in view of</w:t>
            </w:r>
            <w:r>
              <w:t xml:space="preserve"> the level of 2020 recruitment and the potential</w:t>
            </w:r>
            <w:r w:rsidR="006234EE">
              <w:t>ly</w:t>
            </w:r>
            <w:r>
              <w:t xml:space="preserve"> higher numbers of students progressing internally at the end of the 2020-21 year, maintaining the maximum enrolment target at the 2020 level is a viable strategy; </w:t>
            </w:r>
          </w:p>
          <w:p w14:paraId="134B1C7B" w14:textId="18E05985" w:rsidR="002A16EC" w:rsidRPr="000079FB" w:rsidRDefault="002A16EC" w:rsidP="002A16EC">
            <w:pPr>
              <w:pStyle w:val="NoSpacing"/>
            </w:pPr>
          </w:p>
        </w:tc>
      </w:tr>
      <w:tr w:rsidR="002A16EC" w:rsidRPr="000079FB" w14:paraId="23A5A3DB" w14:textId="77777777" w:rsidTr="00876574">
        <w:tc>
          <w:tcPr>
            <w:tcW w:w="534" w:type="dxa"/>
          </w:tcPr>
          <w:p w14:paraId="4806B075" w14:textId="77777777" w:rsidR="002A16EC" w:rsidRPr="000079FB" w:rsidRDefault="002A16EC" w:rsidP="00870364">
            <w:pPr>
              <w:rPr>
                <w:rFonts w:ascii="Verdana" w:hAnsi="Verdana"/>
              </w:rPr>
            </w:pPr>
          </w:p>
        </w:tc>
        <w:tc>
          <w:tcPr>
            <w:tcW w:w="312" w:type="dxa"/>
          </w:tcPr>
          <w:p w14:paraId="43AC48D4" w14:textId="248BCD92" w:rsidR="002A16EC" w:rsidRDefault="002A16EC" w:rsidP="00870364">
            <w:pPr>
              <w:rPr>
                <w:rFonts w:ascii="Verdana" w:hAnsi="Verdana"/>
                <w:b/>
              </w:rPr>
            </w:pPr>
            <w:r>
              <w:rPr>
                <w:rFonts w:ascii="Verdana" w:hAnsi="Verdana"/>
                <w:b/>
              </w:rPr>
              <w:t>.</w:t>
            </w:r>
          </w:p>
        </w:tc>
        <w:tc>
          <w:tcPr>
            <w:tcW w:w="8618" w:type="dxa"/>
          </w:tcPr>
          <w:p w14:paraId="54B57229" w14:textId="77777777" w:rsidR="002A16EC" w:rsidRDefault="002A16EC" w:rsidP="00870364">
            <w:pPr>
              <w:pStyle w:val="NoSpacing"/>
              <w:rPr>
                <w:i/>
                <w:iCs/>
              </w:rPr>
            </w:pPr>
            <w:r>
              <w:t xml:space="preserve">relevant College events, where appropriate, could be opened up to participation by secondary school pupils; </w:t>
            </w:r>
            <w:r>
              <w:rPr>
                <w:i/>
                <w:iCs/>
              </w:rPr>
              <w:t>and</w:t>
            </w:r>
          </w:p>
          <w:p w14:paraId="4372BC11" w14:textId="586924CB" w:rsidR="002A16EC" w:rsidRPr="002A16EC" w:rsidRDefault="002A16EC" w:rsidP="00870364">
            <w:pPr>
              <w:pStyle w:val="NoSpacing"/>
              <w:rPr>
                <w:i/>
                <w:iCs/>
              </w:rPr>
            </w:pPr>
          </w:p>
        </w:tc>
      </w:tr>
      <w:tr w:rsidR="004020B9" w:rsidRPr="000079FB" w14:paraId="48B3CD33" w14:textId="77777777" w:rsidTr="00876574">
        <w:tc>
          <w:tcPr>
            <w:tcW w:w="534" w:type="dxa"/>
          </w:tcPr>
          <w:p w14:paraId="05630D08" w14:textId="77777777" w:rsidR="004020B9" w:rsidRPr="000079FB" w:rsidRDefault="004020B9" w:rsidP="00870364">
            <w:pPr>
              <w:rPr>
                <w:rFonts w:ascii="Verdana" w:hAnsi="Verdana"/>
              </w:rPr>
            </w:pPr>
          </w:p>
        </w:tc>
        <w:tc>
          <w:tcPr>
            <w:tcW w:w="312" w:type="dxa"/>
          </w:tcPr>
          <w:p w14:paraId="43F78EAC" w14:textId="6F17FEC9" w:rsidR="004020B9" w:rsidRDefault="004020B9" w:rsidP="00870364">
            <w:pPr>
              <w:rPr>
                <w:rFonts w:ascii="Verdana" w:hAnsi="Verdana"/>
                <w:b/>
              </w:rPr>
            </w:pPr>
            <w:r>
              <w:rPr>
                <w:rFonts w:ascii="Verdana" w:hAnsi="Verdana"/>
                <w:b/>
              </w:rPr>
              <w:t>.</w:t>
            </w:r>
          </w:p>
        </w:tc>
        <w:tc>
          <w:tcPr>
            <w:tcW w:w="8618" w:type="dxa"/>
          </w:tcPr>
          <w:p w14:paraId="0B29411E" w14:textId="789DA8B8" w:rsidR="004020B9" w:rsidRDefault="004020B9" w:rsidP="00870364">
            <w:pPr>
              <w:pStyle w:val="NoSpacing"/>
            </w:pPr>
            <w:r w:rsidRPr="00D05E08">
              <w:t>the highly effective College response to the public health emergency is part of its unique selling point to potential students</w:t>
            </w:r>
            <w:r w:rsidR="002A16EC">
              <w:t>,</w:t>
            </w:r>
            <w:r w:rsidRPr="00D05E08">
              <w:t xml:space="preserve"> who can </w:t>
            </w:r>
            <w:r w:rsidR="00F04747" w:rsidRPr="00D05E08">
              <w:t>anticipate</w:t>
            </w:r>
            <w:r w:rsidRPr="00D05E08">
              <w:t xml:space="preserve"> a more “normal” environment to obtain</w:t>
            </w:r>
            <w:r w:rsidR="006234EE" w:rsidRPr="00D05E08">
              <w:t xml:space="preserve"> at the College</w:t>
            </w:r>
            <w:r w:rsidR="00D05E08">
              <w:t>,</w:t>
            </w:r>
            <w:r w:rsidR="00D05E08" w:rsidRPr="00D05E08">
              <w:t xml:space="preserve"> and should form a significant part of the marketing strategy in the current year</w:t>
            </w:r>
            <w:r w:rsidRPr="00D05E08">
              <w:t>.</w:t>
            </w:r>
            <w:r w:rsidR="00D05E08">
              <w:t xml:space="preserve"> </w:t>
            </w:r>
          </w:p>
        </w:tc>
      </w:tr>
    </w:tbl>
    <w:p w14:paraId="7FB8C287" w14:textId="77777777" w:rsidR="00870364" w:rsidRDefault="0087036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4020B9" w:rsidRPr="00B8285A" w14:paraId="540862C5" w14:textId="77777777" w:rsidTr="00876574">
        <w:tc>
          <w:tcPr>
            <w:tcW w:w="529" w:type="dxa"/>
            <w:shd w:val="clear" w:color="auto" w:fill="auto"/>
            <w:tcMar>
              <w:top w:w="0" w:type="dxa"/>
              <w:left w:w="108" w:type="dxa"/>
              <w:bottom w:w="0" w:type="dxa"/>
              <w:right w:w="108" w:type="dxa"/>
            </w:tcMar>
          </w:tcPr>
          <w:p w14:paraId="531AE744" w14:textId="77777777" w:rsidR="004020B9" w:rsidRPr="005D6214" w:rsidRDefault="004020B9" w:rsidP="00D05E08">
            <w:pPr>
              <w:pStyle w:val="NoSpacing"/>
              <w:rPr>
                <w:b/>
                <w:color w:val="FF0000"/>
              </w:rPr>
            </w:pPr>
          </w:p>
        </w:tc>
        <w:tc>
          <w:tcPr>
            <w:tcW w:w="8935" w:type="dxa"/>
            <w:shd w:val="clear" w:color="auto" w:fill="auto"/>
            <w:tcMar>
              <w:top w:w="0" w:type="dxa"/>
              <w:left w:w="108" w:type="dxa"/>
              <w:bottom w:w="0" w:type="dxa"/>
              <w:right w:w="108" w:type="dxa"/>
            </w:tcMar>
          </w:tcPr>
          <w:p w14:paraId="093BA137" w14:textId="77777777" w:rsidR="002A16EC" w:rsidRPr="008D79CF" w:rsidRDefault="002A16EC" w:rsidP="002A16EC">
            <w:pPr>
              <w:rPr>
                <w:rFonts w:ascii="Verdana" w:hAnsi="Verdana"/>
              </w:rPr>
            </w:pPr>
            <w:r w:rsidRPr="0081524C">
              <w:rPr>
                <w:rFonts w:ascii="Verdana" w:hAnsi="Verdana"/>
              </w:rPr>
              <w:t xml:space="preserve">It was confirmed by the Vice-Principal: Student Services and Recruitment that the recruitment activity is </w:t>
            </w:r>
            <w:r w:rsidRPr="008D79CF">
              <w:rPr>
                <w:rFonts w:ascii="Verdana" w:hAnsi="Verdana"/>
              </w:rPr>
              <w:t>currently assessed as being adequately resourced</w:t>
            </w:r>
            <w:r>
              <w:rPr>
                <w:rFonts w:ascii="Verdana" w:hAnsi="Verdana"/>
              </w:rPr>
              <w:t>, and that</w:t>
            </w:r>
            <w:r w:rsidRPr="008D79CF">
              <w:rPr>
                <w:rFonts w:ascii="Verdana" w:hAnsi="Verdana"/>
              </w:rPr>
              <w:t xml:space="preserve"> </w:t>
            </w:r>
            <w:r>
              <w:rPr>
                <w:rFonts w:ascii="Verdana" w:hAnsi="Verdana"/>
              </w:rPr>
              <w:t>h</w:t>
            </w:r>
            <w:r w:rsidRPr="008D79CF">
              <w:rPr>
                <w:rFonts w:ascii="Verdana" w:hAnsi="Verdana"/>
              </w:rPr>
              <w:t>igh</w:t>
            </w:r>
            <w:r>
              <w:rPr>
                <w:rFonts w:ascii="Verdana" w:hAnsi="Verdana"/>
              </w:rPr>
              <w:t>-</w:t>
            </w:r>
            <w:r w:rsidRPr="008D79CF">
              <w:rPr>
                <w:rFonts w:ascii="Verdana" w:hAnsi="Verdana"/>
              </w:rPr>
              <w:t>cost activities ha</w:t>
            </w:r>
            <w:r>
              <w:rPr>
                <w:rFonts w:ascii="Verdana" w:hAnsi="Verdana"/>
              </w:rPr>
              <w:t>d</w:t>
            </w:r>
            <w:r w:rsidRPr="008D79CF">
              <w:rPr>
                <w:rFonts w:ascii="Verdana" w:hAnsi="Verdana"/>
              </w:rPr>
              <w:t xml:space="preserve"> been brought forward to </w:t>
            </w:r>
            <w:r>
              <w:rPr>
                <w:rFonts w:ascii="Verdana" w:hAnsi="Verdana"/>
              </w:rPr>
              <w:t>an earlier point</w:t>
            </w:r>
            <w:r w:rsidRPr="008D79CF">
              <w:rPr>
                <w:rFonts w:ascii="Verdana" w:hAnsi="Verdana"/>
              </w:rPr>
              <w:t xml:space="preserve"> in the academic year to replace school liaison activity which </w:t>
            </w:r>
            <w:r>
              <w:rPr>
                <w:rFonts w:ascii="Verdana" w:hAnsi="Verdana"/>
              </w:rPr>
              <w:t>is expected</w:t>
            </w:r>
            <w:r w:rsidRPr="008D79CF">
              <w:rPr>
                <w:rFonts w:ascii="Verdana" w:hAnsi="Verdana"/>
              </w:rPr>
              <w:t xml:space="preserve"> to </w:t>
            </w:r>
            <w:r>
              <w:rPr>
                <w:rFonts w:ascii="Verdana" w:hAnsi="Verdana"/>
              </w:rPr>
              <w:t xml:space="preserve">be </w:t>
            </w:r>
            <w:r w:rsidRPr="008D79CF">
              <w:rPr>
                <w:rFonts w:ascii="Verdana" w:hAnsi="Verdana"/>
              </w:rPr>
              <w:t>pick</w:t>
            </w:r>
            <w:r>
              <w:rPr>
                <w:rFonts w:ascii="Verdana" w:hAnsi="Verdana"/>
              </w:rPr>
              <w:t>ed</w:t>
            </w:r>
            <w:r w:rsidRPr="008D79CF">
              <w:rPr>
                <w:rFonts w:ascii="Verdana" w:hAnsi="Verdana"/>
              </w:rPr>
              <w:t xml:space="preserve"> up later.</w:t>
            </w:r>
            <w:r>
              <w:rPr>
                <w:rFonts w:ascii="Verdana" w:hAnsi="Verdana"/>
              </w:rPr>
              <w:t xml:space="preserve"> </w:t>
            </w:r>
            <w:r w:rsidRPr="008D79CF">
              <w:rPr>
                <w:rFonts w:ascii="Verdana" w:hAnsi="Verdana"/>
              </w:rPr>
              <w:t xml:space="preserve"> So far, additional expenditure incurred in responding to the pandemic ha</w:t>
            </w:r>
            <w:r>
              <w:rPr>
                <w:rFonts w:ascii="Verdana" w:hAnsi="Verdana"/>
              </w:rPr>
              <w:t>d</w:t>
            </w:r>
            <w:r w:rsidRPr="008D79CF">
              <w:rPr>
                <w:rFonts w:ascii="Verdana" w:hAnsi="Verdana"/>
              </w:rPr>
              <w:t xml:space="preserve"> been offset by savings in physical events such as open days</w:t>
            </w:r>
            <w:r>
              <w:rPr>
                <w:rFonts w:ascii="Verdana" w:hAnsi="Verdana"/>
              </w:rPr>
              <w:t>.</w:t>
            </w:r>
          </w:p>
          <w:p w14:paraId="4FA47353" w14:textId="77777777" w:rsidR="002A16EC" w:rsidRPr="008D79CF" w:rsidRDefault="002A16EC" w:rsidP="002A16EC">
            <w:pPr>
              <w:rPr>
                <w:rFonts w:ascii="Verdana" w:hAnsi="Verdana"/>
              </w:rPr>
            </w:pPr>
          </w:p>
          <w:p w14:paraId="72E927C4" w14:textId="6EF6440D" w:rsidR="002A16EC" w:rsidRPr="008D79CF" w:rsidRDefault="002A16EC" w:rsidP="002A16EC">
            <w:pPr>
              <w:rPr>
                <w:rFonts w:ascii="Verdana" w:hAnsi="Verdana"/>
                <w:color w:val="FF0000"/>
              </w:rPr>
            </w:pPr>
            <w:r w:rsidRPr="008D79CF">
              <w:rPr>
                <w:rFonts w:ascii="Verdana" w:hAnsi="Verdana"/>
              </w:rPr>
              <w:t>In response to a question from the Committee Chair, it was confirmed that the College had developed a range of initiatives to respond to the current environment</w:t>
            </w:r>
            <w:r>
              <w:rPr>
                <w:rFonts w:ascii="Verdana" w:hAnsi="Verdana"/>
              </w:rPr>
              <w:t>, all of which</w:t>
            </w:r>
            <w:r w:rsidRPr="008D79CF">
              <w:rPr>
                <w:rFonts w:ascii="Verdana" w:hAnsi="Verdana"/>
              </w:rPr>
              <w:t xml:space="preserve"> are being regularly reviewed and </w:t>
            </w:r>
            <w:r>
              <w:rPr>
                <w:rFonts w:ascii="Verdana" w:hAnsi="Verdana"/>
              </w:rPr>
              <w:t>adjust</w:t>
            </w:r>
            <w:r w:rsidRPr="008D79CF">
              <w:rPr>
                <w:rFonts w:ascii="Verdana" w:hAnsi="Verdana"/>
              </w:rPr>
              <w:t>ed in order to develop a comprehensive strategy for the academic year</w:t>
            </w:r>
            <w:r>
              <w:rPr>
                <w:rFonts w:ascii="Verdana" w:hAnsi="Verdana"/>
              </w:rPr>
              <w:t>, and that c</w:t>
            </w:r>
            <w:r w:rsidRPr="008D79CF">
              <w:rPr>
                <w:rFonts w:ascii="Verdana" w:hAnsi="Verdana"/>
              </w:rPr>
              <w:t>onnections with competitors and other colleges ha</w:t>
            </w:r>
            <w:r>
              <w:rPr>
                <w:rFonts w:ascii="Verdana" w:hAnsi="Verdana"/>
              </w:rPr>
              <w:t>d</w:t>
            </w:r>
            <w:r w:rsidRPr="008D79CF">
              <w:rPr>
                <w:rFonts w:ascii="Verdana" w:hAnsi="Verdana"/>
              </w:rPr>
              <w:t xml:space="preserve"> found that the challenges faced</w:t>
            </w:r>
            <w:r>
              <w:rPr>
                <w:rFonts w:ascii="Verdana" w:hAnsi="Verdana"/>
              </w:rPr>
              <w:t xml:space="preserve"> by the College</w:t>
            </w:r>
            <w:r w:rsidRPr="008D79CF">
              <w:rPr>
                <w:rFonts w:ascii="Verdana" w:hAnsi="Verdana"/>
              </w:rPr>
              <w:t xml:space="preserve"> are </w:t>
            </w:r>
            <w:r>
              <w:rPr>
                <w:rFonts w:ascii="Verdana" w:hAnsi="Verdana"/>
              </w:rPr>
              <w:t>equivalent to</w:t>
            </w:r>
            <w:r w:rsidRPr="008D79CF">
              <w:rPr>
                <w:rFonts w:ascii="Verdana" w:hAnsi="Verdana"/>
              </w:rPr>
              <w:t xml:space="preserve"> </w:t>
            </w:r>
            <w:r>
              <w:rPr>
                <w:rFonts w:ascii="Verdana" w:hAnsi="Verdana"/>
              </w:rPr>
              <w:t xml:space="preserve">those faced by </w:t>
            </w:r>
            <w:r w:rsidRPr="008D79CF">
              <w:rPr>
                <w:rFonts w:ascii="Verdana" w:hAnsi="Verdana"/>
              </w:rPr>
              <w:t>other</w:t>
            </w:r>
            <w:r>
              <w:rPr>
                <w:rFonts w:ascii="Verdana" w:hAnsi="Verdana"/>
              </w:rPr>
              <w:t xml:space="preserve"> provider</w:t>
            </w:r>
            <w:r w:rsidRPr="008D79CF">
              <w:rPr>
                <w:rFonts w:ascii="Verdana" w:hAnsi="Verdana"/>
              </w:rPr>
              <w:t xml:space="preserve">s. Feedback from partner </w:t>
            </w:r>
            <w:r>
              <w:rPr>
                <w:rFonts w:ascii="Verdana" w:hAnsi="Verdana"/>
              </w:rPr>
              <w:t>s</w:t>
            </w:r>
            <w:r w:rsidRPr="008D79CF">
              <w:rPr>
                <w:rFonts w:ascii="Verdana" w:hAnsi="Verdana"/>
              </w:rPr>
              <w:t xml:space="preserve">econdary </w:t>
            </w:r>
            <w:r>
              <w:rPr>
                <w:rFonts w:ascii="Verdana" w:hAnsi="Verdana"/>
              </w:rPr>
              <w:t>s</w:t>
            </w:r>
            <w:r w:rsidRPr="008D79CF">
              <w:rPr>
                <w:rFonts w:ascii="Verdana" w:hAnsi="Verdana"/>
              </w:rPr>
              <w:t xml:space="preserve">chools </w:t>
            </w:r>
            <w:r>
              <w:rPr>
                <w:rFonts w:ascii="Verdana" w:hAnsi="Verdana"/>
              </w:rPr>
              <w:t>indicates</w:t>
            </w:r>
            <w:r w:rsidRPr="008D79CF">
              <w:rPr>
                <w:rFonts w:ascii="Verdana" w:hAnsi="Verdana"/>
              </w:rPr>
              <w:t xml:space="preserve"> that Year 11 progression programme</w:t>
            </w:r>
            <w:r>
              <w:rPr>
                <w:rFonts w:ascii="Verdana" w:hAnsi="Verdana"/>
              </w:rPr>
              <w:t>s</w:t>
            </w:r>
            <w:r w:rsidRPr="008D79CF">
              <w:rPr>
                <w:rFonts w:ascii="Verdana" w:hAnsi="Verdana"/>
              </w:rPr>
              <w:t xml:space="preserve"> ha</w:t>
            </w:r>
            <w:r>
              <w:rPr>
                <w:rFonts w:ascii="Verdana" w:hAnsi="Verdana"/>
              </w:rPr>
              <w:t>d</w:t>
            </w:r>
            <w:r w:rsidRPr="008D79CF">
              <w:rPr>
                <w:rFonts w:ascii="Verdana" w:hAnsi="Verdana"/>
              </w:rPr>
              <w:t xml:space="preserve"> been delayed and </w:t>
            </w:r>
            <w:r>
              <w:rPr>
                <w:rFonts w:ascii="Verdana" w:hAnsi="Verdana"/>
              </w:rPr>
              <w:t>are anticipated to</w:t>
            </w:r>
            <w:r w:rsidRPr="008D79CF">
              <w:rPr>
                <w:rFonts w:ascii="Verdana" w:hAnsi="Verdana"/>
              </w:rPr>
              <w:t xml:space="preserve"> pick up later</w:t>
            </w:r>
            <w:r>
              <w:rPr>
                <w:rFonts w:ascii="Verdana" w:hAnsi="Verdana"/>
              </w:rPr>
              <w:t xml:space="preserve"> than normal</w:t>
            </w:r>
            <w:r w:rsidRPr="008D79CF">
              <w:rPr>
                <w:rFonts w:ascii="Verdana" w:hAnsi="Verdana"/>
              </w:rPr>
              <w:t xml:space="preserve"> in the academic year</w:t>
            </w:r>
            <w:r>
              <w:rPr>
                <w:rFonts w:ascii="Verdana" w:hAnsi="Verdana"/>
              </w:rPr>
              <w:t>.</w:t>
            </w:r>
          </w:p>
          <w:p w14:paraId="75A78AA1" w14:textId="77777777" w:rsidR="002A16EC" w:rsidRDefault="002A16EC" w:rsidP="002A16EC">
            <w:pPr>
              <w:pStyle w:val="CommentText"/>
            </w:pPr>
          </w:p>
          <w:p w14:paraId="4A26F817" w14:textId="377E2937" w:rsidR="00F04747" w:rsidRPr="00B8285A" w:rsidRDefault="002A16EC" w:rsidP="002A16EC">
            <w:pPr>
              <w:rPr>
                <w:rFonts w:ascii="Verdana" w:hAnsi="Verdana"/>
                <w:color w:val="FF0000"/>
              </w:rPr>
            </w:pPr>
            <w:r w:rsidRPr="00F04747">
              <w:rPr>
                <w:rFonts w:ascii="Verdana" w:hAnsi="Verdana"/>
              </w:rPr>
              <w:t>It was agreed that:</w:t>
            </w:r>
          </w:p>
        </w:tc>
      </w:tr>
    </w:tbl>
    <w:p w14:paraId="4FC460CD" w14:textId="3BC28B7D" w:rsidR="00870364" w:rsidRDefault="0087036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F04747" w:rsidRPr="000079FB" w14:paraId="4DA1EDDA" w14:textId="77777777" w:rsidTr="00876574">
        <w:tc>
          <w:tcPr>
            <w:tcW w:w="534" w:type="dxa"/>
          </w:tcPr>
          <w:p w14:paraId="1F57DDC3" w14:textId="77777777" w:rsidR="00F04747" w:rsidRPr="000079FB" w:rsidRDefault="00F04747" w:rsidP="00D05E08">
            <w:pPr>
              <w:rPr>
                <w:rFonts w:ascii="Verdana" w:hAnsi="Verdana"/>
              </w:rPr>
            </w:pPr>
          </w:p>
        </w:tc>
        <w:tc>
          <w:tcPr>
            <w:tcW w:w="312" w:type="dxa"/>
          </w:tcPr>
          <w:p w14:paraId="08E34CD9" w14:textId="77777777" w:rsidR="00F04747" w:rsidRPr="000079FB" w:rsidRDefault="00F04747" w:rsidP="00D05E08">
            <w:pPr>
              <w:rPr>
                <w:rFonts w:ascii="Verdana" w:hAnsi="Verdana"/>
                <w:b/>
              </w:rPr>
            </w:pPr>
            <w:r>
              <w:rPr>
                <w:rFonts w:ascii="Verdana" w:hAnsi="Verdana"/>
                <w:b/>
              </w:rPr>
              <w:t>.</w:t>
            </w:r>
          </w:p>
        </w:tc>
        <w:tc>
          <w:tcPr>
            <w:tcW w:w="8618" w:type="dxa"/>
          </w:tcPr>
          <w:p w14:paraId="074D882F" w14:textId="4EACCCD3" w:rsidR="00F04747" w:rsidRDefault="006234EE" w:rsidP="00D05E08">
            <w:pPr>
              <w:pStyle w:val="NoSpacing"/>
            </w:pPr>
            <w:r>
              <w:t xml:space="preserve">any </w:t>
            </w:r>
            <w:r w:rsidR="00F04747">
              <w:t>suggestions</w:t>
            </w:r>
            <w:r>
              <w:t xml:space="preserve"> from members</w:t>
            </w:r>
            <w:r w:rsidR="00F04747">
              <w:t xml:space="preserve"> in connection with implementing the marketing strategy be emailed</w:t>
            </w:r>
            <w:r>
              <w:t xml:space="preserve"> directly</w:t>
            </w:r>
            <w:r w:rsidR="00F04747">
              <w:t xml:space="preserve"> to the Vice-Principal: </w:t>
            </w:r>
            <w:r w:rsidR="00F04747" w:rsidRPr="00FE7EDC">
              <w:t>Student S</w:t>
            </w:r>
            <w:r w:rsidR="00F04747">
              <w:t>ervices and Recruitment;</w:t>
            </w:r>
          </w:p>
          <w:p w14:paraId="2D631824" w14:textId="55BE79A5" w:rsidR="00F04747" w:rsidRPr="000079FB" w:rsidRDefault="00F04747" w:rsidP="00D05E08">
            <w:pPr>
              <w:pStyle w:val="NoSpacing"/>
            </w:pPr>
            <w:r>
              <w:t xml:space="preserve"> </w:t>
            </w:r>
          </w:p>
        </w:tc>
      </w:tr>
      <w:tr w:rsidR="00F04747" w:rsidRPr="000079FB" w14:paraId="740680E2" w14:textId="77777777" w:rsidTr="00876574">
        <w:tc>
          <w:tcPr>
            <w:tcW w:w="534" w:type="dxa"/>
          </w:tcPr>
          <w:p w14:paraId="582E96B1" w14:textId="77777777" w:rsidR="00F04747" w:rsidRPr="000079FB" w:rsidRDefault="00F04747" w:rsidP="00D05E08">
            <w:pPr>
              <w:rPr>
                <w:rFonts w:ascii="Verdana" w:hAnsi="Verdana"/>
              </w:rPr>
            </w:pPr>
          </w:p>
        </w:tc>
        <w:tc>
          <w:tcPr>
            <w:tcW w:w="312" w:type="dxa"/>
          </w:tcPr>
          <w:p w14:paraId="0E57DD9E" w14:textId="77777777" w:rsidR="00F04747" w:rsidRPr="000079FB" w:rsidRDefault="00F04747" w:rsidP="00D05E08">
            <w:pPr>
              <w:rPr>
                <w:rFonts w:ascii="Verdana" w:hAnsi="Verdana"/>
                <w:b/>
              </w:rPr>
            </w:pPr>
            <w:r>
              <w:rPr>
                <w:rFonts w:ascii="Verdana" w:hAnsi="Verdana"/>
                <w:b/>
              </w:rPr>
              <w:t>.</w:t>
            </w:r>
          </w:p>
        </w:tc>
        <w:tc>
          <w:tcPr>
            <w:tcW w:w="8618" w:type="dxa"/>
          </w:tcPr>
          <w:p w14:paraId="7B004B32" w14:textId="33E1700C" w:rsidR="00F04747" w:rsidRDefault="00F04747" w:rsidP="00D05E08">
            <w:pPr>
              <w:pStyle w:val="NoSpacing"/>
            </w:pPr>
            <w:r>
              <w:t>the number</w:t>
            </w:r>
            <w:r w:rsidR="00B41308">
              <w:t xml:space="preserve"> of 2021 student enrolments</w:t>
            </w:r>
            <w:r>
              <w:t xml:space="preserve"> to be advised to the Resources Committee as a basis for financial planning </w:t>
            </w:r>
            <w:r w:rsidR="00B41308">
              <w:t>in</w:t>
            </w:r>
            <w:r>
              <w:t xml:space="preserve"> 2021-22</w:t>
            </w:r>
            <w:r w:rsidR="00B41308">
              <w:t xml:space="preserve"> be proposed to the Chair</w:t>
            </w:r>
            <w:r w:rsidR="006234EE">
              <w:t xml:space="preserve"> of the External Relations Committee</w:t>
            </w:r>
            <w:r w:rsidR="00B41308">
              <w:t xml:space="preserve"> after the census date has </w:t>
            </w:r>
            <w:r w:rsidR="00B41308">
              <w:lastRenderedPageBreak/>
              <w:t>passed</w:t>
            </w:r>
            <w:r>
              <w:t xml:space="preserve"> </w:t>
            </w:r>
            <w:r w:rsidR="00B41308">
              <w:t>in</w:t>
            </w:r>
            <w:r w:rsidR="008A7039">
              <w:t xml:space="preserve"> good</w:t>
            </w:r>
            <w:r w:rsidR="00B41308">
              <w:t xml:space="preserve"> time for the Resources Committee to have it at their disposal at the meeting to be held on 30 November 2020, the Committee Chair, if he thinks fit, to approve it under the provisions </w:t>
            </w:r>
            <w:r w:rsidR="008A7039">
              <w:t>set out in</w:t>
            </w:r>
            <w:r w:rsidR="00B41308">
              <w:t xml:space="preserve"> Bye Law 2.1.3.6 of the Corporation prescribing Committee Chair</w:t>
            </w:r>
            <w:r w:rsidR="008A7039">
              <w:t>’s</w:t>
            </w:r>
            <w:r w:rsidR="00B41308">
              <w:t xml:space="preserve"> Action; </w:t>
            </w:r>
          </w:p>
          <w:p w14:paraId="64C1A5E7" w14:textId="49C08D7A" w:rsidR="008A7039" w:rsidRPr="000079FB" w:rsidRDefault="008A7039" w:rsidP="00D05E08">
            <w:pPr>
              <w:pStyle w:val="NoSpacing"/>
            </w:pPr>
          </w:p>
        </w:tc>
      </w:tr>
      <w:tr w:rsidR="00F04747" w14:paraId="6D44C7E5" w14:textId="77777777" w:rsidTr="00876574">
        <w:tc>
          <w:tcPr>
            <w:tcW w:w="534" w:type="dxa"/>
          </w:tcPr>
          <w:p w14:paraId="388B4282" w14:textId="77777777" w:rsidR="00F04747" w:rsidRPr="000079FB" w:rsidRDefault="00F04747" w:rsidP="00D05E08">
            <w:pPr>
              <w:rPr>
                <w:rFonts w:ascii="Verdana" w:hAnsi="Verdana"/>
              </w:rPr>
            </w:pPr>
          </w:p>
        </w:tc>
        <w:tc>
          <w:tcPr>
            <w:tcW w:w="312" w:type="dxa"/>
          </w:tcPr>
          <w:p w14:paraId="518337FD" w14:textId="77777777" w:rsidR="00F04747" w:rsidRDefault="00F04747" w:rsidP="00D05E08">
            <w:pPr>
              <w:rPr>
                <w:rFonts w:ascii="Verdana" w:hAnsi="Verdana"/>
                <w:b/>
              </w:rPr>
            </w:pPr>
            <w:r>
              <w:rPr>
                <w:rFonts w:ascii="Verdana" w:hAnsi="Verdana"/>
                <w:b/>
              </w:rPr>
              <w:t>.</w:t>
            </w:r>
          </w:p>
        </w:tc>
        <w:tc>
          <w:tcPr>
            <w:tcW w:w="8618" w:type="dxa"/>
          </w:tcPr>
          <w:p w14:paraId="3207B8AE" w14:textId="39E98C53" w:rsidR="00F04747" w:rsidRDefault="008A7039" w:rsidP="00D05E08">
            <w:pPr>
              <w:pStyle w:val="NoSpacing"/>
            </w:pPr>
            <w:r>
              <w:t>an additional online meeting of the Committee be held on 2 December 2020 starting at 17.30 hours for the purpose of reviewing progress on implementation of the College marketing strategy, with particular reference to its implementation during the public health emergency.</w:t>
            </w:r>
          </w:p>
        </w:tc>
      </w:tr>
    </w:tbl>
    <w:p w14:paraId="0E52032C" w14:textId="77777777" w:rsidR="008A7039" w:rsidRDefault="008A7039"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3D77F2" w:rsidRPr="006D35B2" w14:paraId="6CCC62F6" w14:textId="77777777" w:rsidTr="00876574">
        <w:tc>
          <w:tcPr>
            <w:tcW w:w="529" w:type="dxa"/>
            <w:shd w:val="clear" w:color="auto" w:fill="auto"/>
            <w:tcMar>
              <w:top w:w="0" w:type="dxa"/>
              <w:left w:w="108" w:type="dxa"/>
              <w:bottom w:w="0" w:type="dxa"/>
              <w:right w:w="108" w:type="dxa"/>
            </w:tcMar>
          </w:tcPr>
          <w:p w14:paraId="18099991" w14:textId="4626AD86" w:rsidR="003D77F2" w:rsidRDefault="003054D2" w:rsidP="005363B3">
            <w:pPr>
              <w:pStyle w:val="NoSpacing"/>
              <w:rPr>
                <w:b/>
              </w:rPr>
            </w:pPr>
            <w:r>
              <w:rPr>
                <w:b/>
              </w:rPr>
              <w:t>7</w:t>
            </w:r>
          </w:p>
        </w:tc>
        <w:tc>
          <w:tcPr>
            <w:tcW w:w="8935" w:type="dxa"/>
            <w:shd w:val="clear" w:color="auto" w:fill="auto"/>
            <w:tcMar>
              <w:top w:w="0" w:type="dxa"/>
              <w:left w:w="108" w:type="dxa"/>
              <w:bottom w:w="0" w:type="dxa"/>
              <w:right w:w="108" w:type="dxa"/>
            </w:tcMar>
          </w:tcPr>
          <w:p w14:paraId="16A768F3" w14:textId="68D2516B" w:rsidR="0062120B" w:rsidRDefault="0062120B" w:rsidP="0062120B">
            <w:pPr>
              <w:rPr>
                <w:rFonts w:ascii="Verdana" w:hAnsi="Verdana"/>
                <w:b/>
              </w:rPr>
            </w:pPr>
            <w:r>
              <w:rPr>
                <w:rFonts w:ascii="Verdana" w:hAnsi="Verdana"/>
                <w:b/>
              </w:rPr>
              <w:t>Work Experience</w:t>
            </w:r>
          </w:p>
          <w:p w14:paraId="3132AC26" w14:textId="77777777" w:rsidR="003D77F2" w:rsidRDefault="003D77F2" w:rsidP="005363B3">
            <w:pPr>
              <w:rPr>
                <w:rFonts w:ascii="Verdana" w:hAnsi="Verdana"/>
              </w:rPr>
            </w:pPr>
          </w:p>
          <w:p w14:paraId="444D1FC0" w14:textId="77777777" w:rsidR="00524ADC" w:rsidRDefault="00E46EBF" w:rsidP="005363B3">
            <w:pPr>
              <w:rPr>
                <w:rFonts w:ascii="Verdana" w:hAnsi="Verdana"/>
              </w:rPr>
            </w:pPr>
            <w:r>
              <w:rPr>
                <w:rFonts w:ascii="Verdana" w:hAnsi="Verdana"/>
              </w:rPr>
              <w:t xml:space="preserve">A </w:t>
            </w:r>
            <w:r w:rsidR="005B4ED0">
              <w:rPr>
                <w:rFonts w:ascii="Verdana" w:hAnsi="Verdana"/>
              </w:rPr>
              <w:t>report</w:t>
            </w:r>
            <w:r w:rsidR="00006F58">
              <w:rPr>
                <w:rFonts w:ascii="Verdana" w:hAnsi="Verdana"/>
              </w:rPr>
              <w:t xml:space="preserve"> </w:t>
            </w:r>
            <w:r>
              <w:rPr>
                <w:rFonts w:ascii="Verdana" w:hAnsi="Verdana"/>
              </w:rPr>
              <w:t>prepared by the Vice-Principal</w:t>
            </w:r>
            <w:r w:rsidR="00B8738C">
              <w:rPr>
                <w:rFonts w:ascii="Verdana" w:hAnsi="Verdana"/>
              </w:rPr>
              <w:t xml:space="preserve"> (</w:t>
            </w:r>
            <w:r w:rsidRPr="00FE7EDC">
              <w:rPr>
                <w:rFonts w:ascii="Verdana" w:hAnsi="Verdana"/>
              </w:rPr>
              <w:t>Student S</w:t>
            </w:r>
            <w:r>
              <w:rPr>
                <w:rFonts w:ascii="Verdana" w:hAnsi="Verdana"/>
              </w:rPr>
              <w:t>ervices and Recruitment</w:t>
            </w:r>
            <w:r w:rsidR="00006F58">
              <w:rPr>
                <w:rFonts w:ascii="Verdana" w:hAnsi="Verdana"/>
              </w:rPr>
              <w:t>)</w:t>
            </w:r>
            <w:r w:rsidR="00351B4C">
              <w:rPr>
                <w:rFonts w:ascii="Verdana" w:hAnsi="Verdana"/>
              </w:rPr>
              <w:t xml:space="preserve"> was received and considered</w:t>
            </w:r>
            <w:r>
              <w:rPr>
                <w:rFonts w:ascii="Verdana" w:hAnsi="Verdana"/>
              </w:rPr>
              <w:t>.</w:t>
            </w:r>
          </w:p>
          <w:p w14:paraId="559AAB91" w14:textId="77777777" w:rsidR="0013381E" w:rsidRDefault="0013381E" w:rsidP="005363B3">
            <w:pPr>
              <w:rPr>
                <w:rFonts w:ascii="Verdana" w:hAnsi="Verdana"/>
              </w:rPr>
            </w:pPr>
          </w:p>
          <w:p w14:paraId="29B4AAAD" w14:textId="43B8199A" w:rsidR="0013381E" w:rsidRDefault="007C6EA2" w:rsidP="0013381E">
            <w:pPr>
              <w:rPr>
                <w:rFonts w:ascii="Verdana" w:hAnsi="Verdana"/>
              </w:rPr>
            </w:pPr>
            <w:r>
              <w:rPr>
                <w:rFonts w:ascii="Verdana" w:hAnsi="Verdana"/>
              </w:rPr>
              <w:t xml:space="preserve">It </w:t>
            </w:r>
            <w:r w:rsidR="0028769A">
              <w:rPr>
                <w:rFonts w:ascii="Verdana" w:hAnsi="Verdana"/>
              </w:rPr>
              <w:t>was noted</w:t>
            </w:r>
            <w:r>
              <w:rPr>
                <w:rFonts w:ascii="Verdana" w:hAnsi="Verdana"/>
              </w:rPr>
              <w:t xml:space="preserve"> that</w:t>
            </w:r>
            <w:r w:rsidR="0013381E" w:rsidRPr="007C6EA2">
              <w:rPr>
                <w:rFonts w:ascii="Verdana" w:hAnsi="Verdana"/>
              </w:rPr>
              <w:t xml:space="preserve"> the </w:t>
            </w:r>
            <w:r>
              <w:rPr>
                <w:rFonts w:ascii="Verdana" w:hAnsi="Verdana"/>
              </w:rPr>
              <w:t>2019-20</w:t>
            </w:r>
            <w:r w:rsidR="0013381E" w:rsidRPr="007C6EA2">
              <w:rPr>
                <w:rFonts w:ascii="Verdana" w:hAnsi="Verdana"/>
              </w:rPr>
              <w:t xml:space="preserve"> academic year </w:t>
            </w:r>
            <w:r w:rsidR="00D05E08">
              <w:rPr>
                <w:rFonts w:ascii="Verdana" w:hAnsi="Verdana"/>
              </w:rPr>
              <w:t xml:space="preserve">has </w:t>
            </w:r>
            <w:r w:rsidR="00F612AA">
              <w:rPr>
                <w:rFonts w:ascii="Verdana" w:hAnsi="Verdana"/>
              </w:rPr>
              <w:t>been attended by a high level of work</w:t>
            </w:r>
            <w:r w:rsidR="0013381E" w:rsidRPr="007C6EA2">
              <w:rPr>
                <w:rFonts w:ascii="Verdana" w:hAnsi="Verdana"/>
              </w:rPr>
              <w:t xml:space="preserve"> experience placements, </w:t>
            </w:r>
            <w:r w:rsidR="00F612AA">
              <w:rPr>
                <w:rFonts w:ascii="Verdana" w:hAnsi="Verdana"/>
              </w:rPr>
              <w:t>despite</w:t>
            </w:r>
            <w:r w:rsidR="0013381E" w:rsidRPr="007C6EA2">
              <w:rPr>
                <w:rFonts w:ascii="Verdana" w:hAnsi="Verdana"/>
              </w:rPr>
              <w:t xml:space="preserve"> the challenge of </w:t>
            </w:r>
            <w:r>
              <w:rPr>
                <w:rFonts w:ascii="Verdana" w:hAnsi="Verdana"/>
              </w:rPr>
              <w:t>th</w:t>
            </w:r>
            <w:r w:rsidR="0028769A">
              <w:rPr>
                <w:rFonts w:ascii="Verdana" w:hAnsi="Verdana"/>
              </w:rPr>
              <w:t>e</w:t>
            </w:r>
            <w:r>
              <w:rPr>
                <w:rFonts w:ascii="Verdana" w:hAnsi="Verdana"/>
              </w:rPr>
              <w:t xml:space="preserve"> public health emergency</w:t>
            </w:r>
            <w:r w:rsidR="0013381E" w:rsidRPr="007C6EA2">
              <w:rPr>
                <w:rFonts w:ascii="Verdana" w:hAnsi="Verdana"/>
              </w:rPr>
              <w:t xml:space="preserve">. </w:t>
            </w:r>
            <w:r>
              <w:rPr>
                <w:rFonts w:ascii="Verdana" w:hAnsi="Verdana"/>
              </w:rPr>
              <w:t xml:space="preserve"> </w:t>
            </w:r>
            <w:r w:rsidR="0028769A">
              <w:rPr>
                <w:rFonts w:ascii="Verdana" w:hAnsi="Verdana"/>
              </w:rPr>
              <w:t>A</w:t>
            </w:r>
            <w:r w:rsidR="0013381E" w:rsidRPr="007C6EA2">
              <w:rPr>
                <w:rFonts w:ascii="Verdana" w:hAnsi="Verdana"/>
              </w:rPr>
              <w:t xml:space="preserve"> majority of placements </w:t>
            </w:r>
            <w:r>
              <w:rPr>
                <w:rFonts w:ascii="Verdana" w:hAnsi="Verdana"/>
              </w:rPr>
              <w:t>had taken place</w:t>
            </w:r>
            <w:r w:rsidR="0013381E" w:rsidRPr="007C6EA2">
              <w:rPr>
                <w:rFonts w:ascii="Verdana" w:hAnsi="Verdana"/>
              </w:rPr>
              <w:t xml:space="preserve"> in the Winter/early Spring term. </w:t>
            </w:r>
            <w:r>
              <w:rPr>
                <w:rFonts w:ascii="Verdana" w:hAnsi="Verdana"/>
              </w:rPr>
              <w:t xml:space="preserve"> </w:t>
            </w:r>
            <w:r w:rsidR="00F612AA">
              <w:rPr>
                <w:rFonts w:ascii="Verdana" w:hAnsi="Verdana"/>
              </w:rPr>
              <w:t>Consequently</w:t>
            </w:r>
            <w:r w:rsidR="0013381E" w:rsidRPr="007C6EA2">
              <w:rPr>
                <w:rFonts w:ascii="Verdana" w:hAnsi="Verdana"/>
              </w:rPr>
              <w:t xml:space="preserve">, the number of Level 2 and Level 3 vocational students completing a placement </w:t>
            </w:r>
            <w:r w:rsidR="00F612AA">
              <w:rPr>
                <w:rFonts w:ascii="Verdana" w:hAnsi="Verdana"/>
              </w:rPr>
              <w:t>had been</w:t>
            </w:r>
            <w:r w:rsidR="0013381E" w:rsidRPr="007C6EA2">
              <w:rPr>
                <w:rFonts w:ascii="Verdana" w:hAnsi="Verdana"/>
              </w:rPr>
              <w:t xml:space="preserve"> 1% higher than the previous year at 57%. </w:t>
            </w:r>
          </w:p>
          <w:p w14:paraId="6889FF6E" w14:textId="77777777" w:rsidR="007C6EA2" w:rsidRPr="007C6EA2" w:rsidRDefault="007C6EA2" w:rsidP="0013381E">
            <w:pPr>
              <w:rPr>
                <w:rFonts w:ascii="Verdana" w:hAnsi="Verdana"/>
              </w:rPr>
            </w:pPr>
          </w:p>
          <w:p w14:paraId="13046FE3" w14:textId="22CE64E0" w:rsidR="0013381E" w:rsidRDefault="0013381E" w:rsidP="0013381E">
            <w:pPr>
              <w:rPr>
                <w:rFonts w:ascii="Verdana" w:hAnsi="Verdana"/>
              </w:rPr>
            </w:pPr>
            <w:r w:rsidRPr="007C6EA2">
              <w:rPr>
                <w:rFonts w:ascii="Verdana" w:hAnsi="Verdana"/>
              </w:rPr>
              <w:t xml:space="preserve">However, </w:t>
            </w:r>
            <w:r w:rsidR="0028769A">
              <w:rPr>
                <w:rFonts w:ascii="Verdana" w:hAnsi="Verdana"/>
              </w:rPr>
              <w:t>work experience for a minority of classes had been</w:t>
            </w:r>
            <w:r w:rsidRPr="007C6EA2">
              <w:rPr>
                <w:rFonts w:ascii="Verdana" w:hAnsi="Verdana"/>
              </w:rPr>
              <w:t xml:space="preserve"> negatively affected as a result of the pandemic</w:t>
            </w:r>
            <w:r w:rsidR="00CF628A">
              <w:rPr>
                <w:rFonts w:ascii="Verdana" w:hAnsi="Verdana"/>
              </w:rPr>
              <w:t>,</w:t>
            </w:r>
            <w:r w:rsidRPr="007C6EA2">
              <w:rPr>
                <w:rFonts w:ascii="Verdana" w:hAnsi="Verdana"/>
              </w:rPr>
              <w:t xml:space="preserve"> and the completion of industry placements </w:t>
            </w:r>
            <w:r w:rsidR="007C6EA2">
              <w:rPr>
                <w:rFonts w:ascii="Verdana" w:hAnsi="Verdana"/>
              </w:rPr>
              <w:t xml:space="preserve">had </w:t>
            </w:r>
            <w:r w:rsidR="008A7039">
              <w:rPr>
                <w:rFonts w:ascii="Verdana" w:hAnsi="Verdana"/>
              </w:rPr>
              <w:t xml:space="preserve">in many instances </w:t>
            </w:r>
            <w:r w:rsidR="007C6EA2">
              <w:rPr>
                <w:rFonts w:ascii="Verdana" w:hAnsi="Verdana"/>
              </w:rPr>
              <w:t>not been</w:t>
            </w:r>
            <w:r w:rsidRPr="007C6EA2">
              <w:rPr>
                <w:rFonts w:ascii="Verdana" w:hAnsi="Verdana"/>
              </w:rPr>
              <w:t xml:space="preserve"> feasible. </w:t>
            </w:r>
          </w:p>
          <w:p w14:paraId="064005A3" w14:textId="77777777" w:rsidR="007C6EA2" w:rsidRPr="007C6EA2" w:rsidRDefault="007C6EA2" w:rsidP="0013381E">
            <w:pPr>
              <w:rPr>
                <w:rFonts w:ascii="Verdana" w:hAnsi="Verdana"/>
              </w:rPr>
            </w:pPr>
          </w:p>
          <w:p w14:paraId="28F9CD48" w14:textId="1104E916" w:rsidR="0013381E" w:rsidRPr="007C6EA2" w:rsidRDefault="0013381E" w:rsidP="0013381E">
            <w:pPr>
              <w:rPr>
                <w:rFonts w:ascii="Verdana" w:hAnsi="Verdana"/>
              </w:rPr>
            </w:pPr>
            <w:r w:rsidRPr="007C6EA2">
              <w:rPr>
                <w:rFonts w:ascii="Verdana" w:hAnsi="Verdana"/>
              </w:rPr>
              <w:t xml:space="preserve">During the closure period, </w:t>
            </w:r>
            <w:r w:rsidR="007C6EA2" w:rsidRPr="007C6EA2">
              <w:rPr>
                <w:rFonts w:ascii="Verdana" w:hAnsi="Verdana"/>
              </w:rPr>
              <w:t>the College had striven</w:t>
            </w:r>
            <w:r w:rsidRPr="007C6EA2">
              <w:rPr>
                <w:rFonts w:ascii="Verdana" w:hAnsi="Verdana"/>
              </w:rPr>
              <w:t xml:space="preserve"> to </w:t>
            </w:r>
            <w:r w:rsidR="008A7039">
              <w:rPr>
                <w:rFonts w:ascii="Verdana" w:hAnsi="Verdana"/>
              </w:rPr>
              <w:t>maintain</w:t>
            </w:r>
            <w:r w:rsidRPr="007C6EA2">
              <w:rPr>
                <w:rFonts w:ascii="Verdana" w:hAnsi="Verdana"/>
              </w:rPr>
              <w:t xml:space="preserve"> employer connections </w:t>
            </w:r>
            <w:r w:rsidR="007C6EA2" w:rsidRPr="007C6EA2">
              <w:rPr>
                <w:rFonts w:ascii="Verdana" w:hAnsi="Verdana"/>
              </w:rPr>
              <w:t>leading</w:t>
            </w:r>
            <w:r w:rsidRPr="007C6EA2">
              <w:rPr>
                <w:rFonts w:ascii="Verdana" w:hAnsi="Verdana"/>
              </w:rPr>
              <w:t xml:space="preserve"> to a number of </w:t>
            </w:r>
            <w:r w:rsidR="00CF628A">
              <w:rPr>
                <w:rFonts w:ascii="Verdana" w:hAnsi="Verdana"/>
              </w:rPr>
              <w:t xml:space="preserve">novel </w:t>
            </w:r>
            <w:r w:rsidRPr="007C6EA2">
              <w:rPr>
                <w:rFonts w:ascii="Verdana" w:hAnsi="Verdana"/>
              </w:rPr>
              <w:t>projects</w:t>
            </w:r>
            <w:r w:rsidR="00CF628A">
              <w:rPr>
                <w:rFonts w:ascii="Verdana" w:hAnsi="Verdana"/>
              </w:rPr>
              <w:t xml:space="preserve"> which had</w:t>
            </w:r>
            <w:r w:rsidRPr="007C6EA2">
              <w:rPr>
                <w:rFonts w:ascii="Verdana" w:hAnsi="Verdana"/>
              </w:rPr>
              <w:t xml:space="preserve"> provided helpful learning and increased </w:t>
            </w:r>
            <w:r w:rsidR="007C6EA2" w:rsidRPr="007C6EA2">
              <w:rPr>
                <w:rFonts w:ascii="Verdana" w:hAnsi="Verdana"/>
              </w:rPr>
              <w:t>the College’s</w:t>
            </w:r>
            <w:r w:rsidRPr="007C6EA2">
              <w:rPr>
                <w:rFonts w:ascii="Verdana" w:hAnsi="Verdana"/>
              </w:rPr>
              <w:t xml:space="preserve"> confidence to plan for work experience to happen different</w:t>
            </w:r>
            <w:r w:rsidR="007C6EA2" w:rsidRPr="007C6EA2">
              <w:rPr>
                <w:rFonts w:ascii="Verdana" w:hAnsi="Verdana"/>
              </w:rPr>
              <w:t>ly</w:t>
            </w:r>
            <w:r w:rsidR="00CF628A">
              <w:rPr>
                <w:rFonts w:ascii="Verdana" w:hAnsi="Verdana"/>
              </w:rPr>
              <w:t xml:space="preserve"> </w:t>
            </w:r>
            <w:r w:rsidR="007C6EA2" w:rsidRPr="007C6EA2">
              <w:rPr>
                <w:rFonts w:ascii="Verdana" w:hAnsi="Verdana"/>
              </w:rPr>
              <w:t>in 2020-21.</w:t>
            </w:r>
          </w:p>
          <w:p w14:paraId="7E1A8F77" w14:textId="77777777" w:rsidR="007C6EA2" w:rsidRPr="007C6EA2" w:rsidRDefault="007C6EA2" w:rsidP="0013381E">
            <w:pPr>
              <w:rPr>
                <w:rFonts w:ascii="Verdana" w:hAnsi="Verdana"/>
              </w:rPr>
            </w:pPr>
          </w:p>
          <w:p w14:paraId="207FFE2E" w14:textId="262CEE9C" w:rsidR="007C6EA2" w:rsidRDefault="007C6EA2" w:rsidP="007C6EA2">
            <w:pPr>
              <w:rPr>
                <w:rFonts w:ascii="Verdana" w:hAnsi="Verdana"/>
              </w:rPr>
            </w:pPr>
            <w:r w:rsidRPr="007C6EA2">
              <w:rPr>
                <w:rFonts w:ascii="Verdana" w:hAnsi="Verdana"/>
              </w:rPr>
              <w:t xml:space="preserve">In preparation for </w:t>
            </w:r>
            <w:r>
              <w:rPr>
                <w:rFonts w:ascii="Verdana" w:hAnsi="Verdana"/>
              </w:rPr>
              <w:t>the current</w:t>
            </w:r>
            <w:r w:rsidRPr="007C6EA2">
              <w:rPr>
                <w:rFonts w:ascii="Verdana" w:hAnsi="Verdana"/>
              </w:rPr>
              <w:t xml:space="preserve"> academic year, and on the basis o</w:t>
            </w:r>
            <w:r w:rsidR="00CF628A">
              <w:rPr>
                <w:rFonts w:ascii="Verdana" w:hAnsi="Verdana"/>
              </w:rPr>
              <w:t>f</w:t>
            </w:r>
            <w:r w:rsidRPr="007C6EA2">
              <w:rPr>
                <w:rFonts w:ascii="Verdana" w:hAnsi="Verdana"/>
              </w:rPr>
              <w:t xml:space="preserve"> guidance from employers and brokerage agencies, </w:t>
            </w:r>
            <w:r w:rsidR="00CF628A">
              <w:rPr>
                <w:rFonts w:ascii="Verdana" w:hAnsi="Verdana"/>
              </w:rPr>
              <w:t>the College had planned</w:t>
            </w:r>
            <w:r w:rsidRPr="007C6EA2">
              <w:rPr>
                <w:rFonts w:ascii="Verdana" w:hAnsi="Verdana"/>
              </w:rPr>
              <w:t xml:space="preserve"> to resume work experience placements and industry placements from January</w:t>
            </w:r>
            <w:r>
              <w:rPr>
                <w:rFonts w:ascii="Verdana" w:hAnsi="Verdana"/>
              </w:rPr>
              <w:t>, but this appears</w:t>
            </w:r>
            <w:r w:rsidRPr="007C6EA2">
              <w:rPr>
                <w:rFonts w:ascii="Verdana" w:hAnsi="Verdana"/>
              </w:rPr>
              <w:t xml:space="preserve"> increasingly unlikely, </w:t>
            </w:r>
            <w:r>
              <w:rPr>
                <w:rFonts w:ascii="Verdana" w:hAnsi="Verdana"/>
              </w:rPr>
              <w:t>with</w:t>
            </w:r>
            <w:r w:rsidRPr="007C6EA2">
              <w:rPr>
                <w:rFonts w:ascii="Verdana" w:hAnsi="Verdana"/>
              </w:rPr>
              <w:t xml:space="preserve"> one of </w:t>
            </w:r>
            <w:r>
              <w:rPr>
                <w:rFonts w:ascii="Verdana" w:hAnsi="Verdana"/>
              </w:rPr>
              <w:t>the College’s</w:t>
            </w:r>
            <w:r w:rsidRPr="007C6EA2">
              <w:rPr>
                <w:rFonts w:ascii="Verdana" w:hAnsi="Verdana"/>
              </w:rPr>
              <w:t xml:space="preserve"> key brokerage agencies hav</w:t>
            </w:r>
            <w:r>
              <w:rPr>
                <w:rFonts w:ascii="Verdana" w:hAnsi="Verdana"/>
              </w:rPr>
              <w:t>ing</w:t>
            </w:r>
            <w:r w:rsidRPr="007C6EA2">
              <w:rPr>
                <w:rFonts w:ascii="Verdana" w:hAnsi="Verdana"/>
              </w:rPr>
              <w:t xml:space="preserve"> advised that</w:t>
            </w:r>
            <w:r w:rsidR="008A7039">
              <w:rPr>
                <w:rFonts w:ascii="Verdana" w:hAnsi="Verdana"/>
              </w:rPr>
              <w:t>, on current projections,</w:t>
            </w:r>
            <w:r w:rsidRPr="007C6EA2">
              <w:rPr>
                <w:rFonts w:ascii="Verdana" w:hAnsi="Verdana"/>
              </w:rPr>
              <w:t xml:space="preserve"> they will be </w:t>
            </w:r>
            <w:r w:rsidR="008A7039">
              <w:rPr>
                <w:rFonts w:ascii="Verdana" w:hAnsi="Verdana"/>
              </w:rPr>
              <w:t>unable</w:t>
            </w:r>
            <w:r w:rsidRPr="007C6EA2">
              <w:rPr>
                <w:rFonts w:ascii="Verdana" w:hAnsi="Verdana"/>
              </w:rPr>
              <w:t xml:space="preserve"> to resume placements until at least May. </w:t>
            </w:r>
            <w:r>
              <w:rPr>
                <w:rFonts w:ascii="Verdana" w:hAnsi="Verdana"/>
              </w:rPr>
              <w:t xml:space="preserve"> The College remains</w:t>
            </w:r>
            <w:r w:rsidRPr="007C6EA2">
              <w:rPr>
                <w:rFonts w:ascii="Verdana" w:hAnsi="Verdana"/>
              </w:rPr>
              <w:t xml:space="preserve"> hopeful that placements will recommence</w:t>
            </w:r>
            <w:r w:rsidR="00CF628A">
              <w:rPr>
                <w:rFonts w:ascii="Verdana" w:hAnsi="Verdana"/>
              </w:rPr>
              <w:t xml:space="preserve"> at some point during</w:t>
            </w:r>
            <w:r w:rsidRPr="007C6EA2">
              <w:rPr>
                <w:rFonts w:ascii="Verdana" w:hAnsi="Verdana"/>
              </w:rPr>
              <w:t xml:space="preserve"> this academic year and are currently re-scheduling a calendar </w:t>
            </w:r>
            <w:r>
              <w:rPr>
                <w:rFonts w:ascii="Verdana" w:hAnsi="Verdana"/>
              </w:rPr>
              <w:t>for them to</w:t>
            </w:r>
            <w:r w:rsidRPr="007C6EA2">
              <w:rPr>
                <w:rFonts w:ascii="Verdana" w:hAnsi="Verdana"/>
              </w:rPr>
              <w:t xml:space="preserve"> resume in the Summer Term. </w:t>
            </w:r>
          </w:p>
          <w:p w14:paraId="1178A5F4" w14:textId="77777777" w:rsidR="007C6EA2" w:rsidRPr="007C6EA2" w:rsidRDefault="007C6EA2" w:rsidP="007C6EA2">
            <w:pPr>
              <w:rPr>
                <w:rFonts w:ascii="Verdana" w:hAnsi="Verdana"/>
              </w:rPr>
            </w:pPr>
          </w:p>
          <w:p w14:paraId="6946FE54" w14:textId="3E590459" w:rsidR="007C6EA2" w:rsidRDefault="007C6EA2" w:rsidP="007C6EA2">
            <w:pPr>
              <w:rPr>
                <w:rFonts w:ascii="Verdana" w:hAnsi="Verdana"/>
              </w:rPr>
            </w:pPr>
            <w:r w:rsidRPr="007C6EA2">
              <w:rPr>
                <w:rFonts w:ascii="Verdana" w:hAnsi="Verdana"/>
              </w:rPr>
              <w:t>The sourcing and matching of work experience placement</w:t>
            </w:r>
            <w:r>
              <w:rPr>
                <w:rFonts w:ascii="Verdana" w:hAnsi="Verdana"/>
              </w:rPr>
              <w:t>s</w:t>
            </w:r>
            <w:r w:rsidRPr="007C6EA2">
              <w:rPr>
                <w:rFonts w:ascii="Verdana" w:hAnsi="Verdana"/>
              </w:rPr>
              <w:t xml:space="preserve"> </w:t>
            </w:r>
            <w:proofErr w:type="gramStart"/>
            <w:r w:rsidR="00CF628A">
              <w:rPr>
                <w:rFonts w:ascii="Verdana" w:hAnsi="Verdana"/>
              </w:rPr>
              <w:t>is</w:t>
            </w:r>
            <w:proofErr w:type="gramEnd"/>
            <w:r w:rsidR="00CF628A">
              <w:rPr>
                <w:rFonts w:ascii="Verdana" w:hAnsi="Verdana"/>
              </w:rPr>
              <w:t xml:space="preserve"> planned to</w:t>
            </w:r>
            <w:r w:rsidRPr="007C6EA2">
              <w:rPr>
                <w:rFonts w:ascii="Verdana" w:hAnsi="Verdana"/>
              </w:rPr>
              <w:t xml:space="preserve"> continue in the meantime</w:t>
            </w:r>
            <w:r>
              <w:rPr>
                <w:rFonts w:ascii="Verdana" w:hAnsi="Verdana"/>
              </w:rPr>
              <w:t>,</w:t>
            </w:r>
            <w:r w:rsidRPr="007C6EA2">
              <w:rPr>
                <w:rFonts w:ascii="Verdana" w:hAnsi="Verdana"/>
              </w:rPr>
              <w:t xml:space="preserve"> </w:t>
            </w:r>
            <w:r>
              <w:rPr>
                <w:rFonts w:ascii="Verdana" w:hAnsi="Verdana"/>
              </w:rPr>
              <w:t>though</w:t>
            </w:r>
            <w:r w:rsidRPr="007C6EA2">
              <w:rPr>
                <w:rFonts w:ascii="Verdana" w:hAnsi="Verdana"/>
              </w:rPr>
              <w:t xml:space="preserve"> on an ad-hoc basis responding to individual opportunities, rather than </w:t>
            </w:r>
            <w:r w:rsidR="00C355EA">
              <w:rPr>
                <w:rFonts w:ascii="Verdana" w:hAnsi="Verdana"/>
              </w:rPr>
              <w:t xml:space="preserve">as </w:t>
            </w:r>
            <w:r w:rsidRPr="007C6EA2">
              <w:rPr>
                <w:rFonts w:ascii="Verdana" w:hAnsi="Verdana"/>
              </w:rPr>
              <w:t xml:space="preserve">a block system </w:t>
            </w:r>
            <w:r w:rsidR="00C355EA">
              <w:rPr>
                <w:rFonts w:ascii="Verdana" w:hAnsi="Verdana"/>
              </w:rPr>
              <w:t>whereby</w:t>
            </w:r>
            <w:r w:rsidRPr="007C6EA2">
              <w:rPr>
                <w:rFonts w:ascii="Verdana" w:hAnsi="Verdana"/>
              </w:rPr>
              <w:t xml:space="preserve"> whole classes </w:t>
            </w:r>
            <w:r>
              <w:rPr>
                <w:rFonts w:ascii="Verdana" w:hAnsi="Verdana"/>
              </w:rPr>
              <w:t>access opportunities simultaneously</w:t>
            </w:r>
            <w:r w:rsidRPr="007C6EA2">
              <w:rPr>
                <w:rFonts w:ascii="Verdana" w:hAnsi="Verdana"/>
              </w:rPr>
              <w:t>.</w:t>
            </w:r>
          </w:p>
          <w:p w14:paraId="215E5F57" w14:textId="77777777" w:rsidR="007C6EA2" w:rsidRPr="007C6EA2" w:rsidRDefault="007C6EA2" w:rsidP="007C6EA2">
            <w:pPr>
              <w:rPr>
                <w:rFonts w:ascii="Verdana" w:hAnsi="Verdana"/>
              </w:rPr>
            </w:pPr>
          </w:p>
          <w:p w14:paraId="6397D1A0" w14:textId="3AC194FB" w:rsidR="007C6EA2" w:rsidRDefault="007C6EA2" w:rsidP="007C6EA2">
            <w:pPr>
              <w:rPr>
                <w:rFonts w:ascii="Verdana" w:hAnsi="Verdana"/>
              </w:rPr>
            </w:pPr>
            <w:r w:rsidRPr="007C6EA2">
              <w:rPr>
                <w:rFonts w:ascii="Verdana" w:hAnsi="Verdana"/>
              </w:rPr>
              <w:t xml:space="preserve">A Summer </w:t>
            </w:r>
            <w:r>
              <w:rPr>
                <w:rFonts w:ascii="Verdana" w:hAnsi="Verdana"/>
              </w:rPr>
              <w:t>T</w:t>
            </w:r>
            <w:r w:rsidRPr="007C6EA2">
              <w:rPr>
                <w:rFonts w:ascii="Verdana" w:hAnsi="Verdana"/>
              </w:rPr>
              <w:t>erm schedule for block</w:t>
            </w:r>
            <w:r>
              <w:rPr>
                <w:rFonts w:ascii="Verdana" w:hAnsi="Verdana"/>
              </w:rPr>
              <w:t>-</w:t>
            </w:r>
            <w:r w:rsidRPr="007C6EA2">
              <w:rPr>
                <w:rFonts w:ascii="Verdana" w:hAnsi="Verdana"/>
              </w:rPr>
              <w:t xml:space="preserve">booking placements may pose a number of challenges including a clash </w:t>
            </w:r>
            <w:r w:rsidR="00CF628A">
              <w:rPr>
                <w:rFonts w:ascii="Verdana" w:hAnsi="Verdana"/>
              </w:rPr>
              <w:t>for</w:t>
            </w:r>
            <w:r w:rsidRPr="007C6EA2">
              <w:rPr>
                <w:rFonts w:ascii="Verdana" w:hAnsi="Verdana"/>
              </w:rPr>
              <w:t xml:space="preserve"> students re-sitting GCSE English and Maths exam</w:t>
            </w:r>
            <w:r w:rsidR="00CF628A">
              <w:rPr>
                <w:rFonts w:ascii="Verdana" w:hAnsi="Verdana"/>
              </w:rPr>
              <w:t>ination</w:t>
            </w:r>
            <w:r w:rsidRPr="007C6EA2">
              <w:rPr>
                <w:rFonts w:ascii="Verdana" w:hAnsi="Verdana"/>
              </w:rPr>
              <w:t xml:space="preserve">s. </w:t>
            </w:r>
            <w:r>
              <w:rPr>
                <w:rFonts w:ascii="Verdana" w:hAnsi="Verdana"/>
              </w:rPr>
              <w:t xml:space="preserve"> </w:t>
            </w:r>
            <w:r w:rsidRPr="007C6EA2">
              <w:rPr>
                <w:rFonts w:ascii="Verdana" w:hAnsi="Verdana"/>
              </w:rPr>
              <w:t xml:space="preserve">It </w:t>
            </w:r>
            <w:r>
              <w:rPr>
                <w:rFonts w:ascii="Verdana" w:hAnsi="Verdana"/>
              </w:rPr>
              <w:t xml:space="preserve">would </w:t>
            </w:r>
            <w:r w:rsidRPr="007C6EA2">
              <w:rPr>
                <w:rFonts w:ascii="Verdana" w:hAnsi="Verdana"/>
              </w:rPr>
              <w:t>also</w:t>
            </w:r>
            <w:r>
              <w:rPr>
                <w:rFonts w:ascii="Verdana" w:hAnsi="Verdana"/>
              </w:rPr>
              <w:t xml:space="preserve"> </w:t>
            </w:r>
            <w:r w:rsidRPr="007C6EA2">
              <w:rPr>
                <w:rFonts w:ascii="Verdana" w:hAnsi="Verdana"/>
              </w:rPr>
              <w:t>preclude the commenc</w:t>
            </w:r>
            <w:r>
              <w:rPr>
                <w:rFonts w:ascii="Verdana" w:hAnsi="Verdana"/>
              </w:rPr>
              <w:t>ement</w:t>
            </w:r>
            <w:r w:rsidRPr="007C6EA2">
              <w:rPr>
                <w:rFonts w:ascii="Verdana" w:hAnsi="Verdana"/>
              </w:rPr>
              <w:t xml:space="preserve"> of Industry Placements, although no updated guidance </w:t>
            </w:r>
            <w:r>
              <w:rPr>
                <w:rFonts w:ascii="Verdana" w:hAnsi="Verdana"/>
              </w:rPr>
              <w:t xml:space="preserve">in </w:t>
            </w:r>
            <w:r w:rsidR="00C355EA">
              <w:rPr>
                <w:rFonts w:ascii="Verdana" w:hAnsi="Verdana"/>
              </w:rPr>
              <w:t xml:space="preserve">their </w:t>
            </w:r>
            <w:r>
              <w:rPr>
                <w:rFonts w:ascii="Verdana" w:hAnsi="Verdana"/>
              </w:rPr>
              <w:t>regard</w:t>
            </w:r>
            <w:r w:rsidRPr="007C6EA2">
              <w:rPr>
                <w:rFonts w:ascii="Verdana" w:hAnsi="Verdana"/>
              </w:rPr>
              <w:t xml:space="preserve"> ha</w:t>
            </w:r>
            <w:r w:rsidR="00C355EA">
              <w:rPr>
                <w:rFonts w:ascii="Verdana" w:hAnsi="Verdana"/>
              </w:rPr>
              <w:t>d yet</w:t>
            </w:r>
            <w:r w:rsidRPr="007C6EA2">
              <w:rPr>
                <w:rFonts w:ascii="Verdana" w:hAnsi="Verdana"/>
              </w:rPr>
              <w:t xml:space="preserve"> been circulated </w:t>
            </w:r>
            <w:r>
              <w:rPr>
                <w:rFonts w:ascii="Verdana" w:hAnsi="Verdana"/>
              </w:rPr>
              <w:t xml:space="preserve">for </w:t>
            </w:r>
            <w:r w:rsidR="00334B5C">
              <w:rPr>
                <w:rFonts w:ascii="Verdana" w:hAnsi="Verdana"/>
              </w:rPr>
              <w:t>the 2019-20 year</w:t>
            </w:r>
            <w:r w:rsidRPr="007C6EA2">
              <w:rPr>
                <w:rFonts w:ascii="Verdana" w:hAnsi="Verdana"/>
              </w:rPr>
              <w:t>.</w:t>
            </w:r>
          </w:p>
          <w:p w14:paraId="2D860188" w14:textId="77777777" w:rsidR="007C6EA2" w:rsidRPr="007C6EA2" w:rsidRDefault="007C6EA2" w:rsidP="007C6EA2">
            <w:pPr>
              <w:rPr>
                <w:rFonts w:ascii="Verdana" w:hAnsi="Verdana"/>
              </w:rPr>
            </w:pPr>
          </w:p>
          <w:p w14:paraId="2A977987" w14:textId="51E1202E" w:rsidR="007C6EA2" w:rsidRPr="0028769A" w:rsidRDefault="007C6EA2" w:rsidP="007C6EA2">
            <w:pPr>
              <w:rPr>
                <w:rFonts w:ascii="Verdana" w:hAnsi="Verdana"/>
              </w:rPr>
            </w:pPr>
            <w:r w:rsidRPr="007C6EA2">
              <w:rPr>
                <w:rFonts w:ascii="Verdana" w:hAnsi="Verdana"/>
              </w:rPr>
              <w:lastRenderedPageBreak/>
              <w:t xml:space="preserve">However, </w:t>
            </w:r>
            <w:r w:rsidR="00CF628A">
              <w:rPr>
                <w:rFonts w:ascii="Verdana" w:hAnsi="Verdana"/>
              </w:rPr>
              <w:t xml:space="preserve">it is hoped that </w:t>
            </w:r>
            <w:r w:rsidRPr="007C6EA2">
              <w:rPr>
                <w:rFonts w:ascii="Verdana" w:hAnsi="Verdana"/>
              </w:rPr>
              <w:t>work experience</w:t>
            </w:r>
            <w:r>
              <w:rPr>
                <w:rFonts w:ascii="Verdana" w:hAnsi="Verdana"/>
              </w:rPr>
              <w:t xml:space="preserve"> may still be conducted </w:t>
            </w:r>
            <w:r w:rsidR="0028769A">
              <w:rPr>
                <w:rFonts w:ascii="Verdana" w:hAnsi="Verdana"/>
              </w:rPr>
              <w:t>so as to</w:t>
            </w:r>
            <w:r w:rsidRPr="007C6EA2">
              <w:rPr>
                <w:rFonts w:ascii="Verdana" w:hAnsi="Verdana"/>
              </w:rPr>
              <w:t xml:space="preserve"> enable students to gain an understanding of employment. </w:t>
            </w:r>
            <w:r w:rsidR="0028769A">
              <w:rPr>
                <w:rFonts w:ascii="Verdana" w:hAnsi="Verdana"/>
              </w:rPr>
              <w:t xml:space="preserve"> </w:t>
            </w:r>
            <w:r w:rsidRPr="007C6EA2">
              <w:rPr>
                <w:rFonts w:ascii="Verdana" w:hAnsi="Verdana"/>
              </w:rPr>
              <w:t xml:space="preserve">Over the past few years, </w:t>
            </w:r>
            <w:r w:rsidR="0028769A">
              <w:rPr>
                <w:rFonts w:ascii="Verdana" w:hAnsi="Verdana"/>
              </w:rPr>
              <w:t>the College has</w:t>
            </w:r>
            <w:r w:rsidRPr="007C6EA2">
              <w:rPr>
                <w:rFonts w:ascii="Verdana" w:hAnsi="Verdana"/>
              </w:rPr>
              <w:t xml:space="preserve"> successfully developed a range of Work Experience Projects</w:t>
            </w:r>
            <w:r w:rsidR="0028769A">
              <w:rPr>
                <w:rFonts w:ascii="Verdana" w:hAnsi="Verdana"/>
              </w:rPr>
              <w:t xml:space="preserve"> </w:t>
            </w:r>
            <w:r w:rsidRPr="007C6EA2">
              <w:rPr>
                <w:rFonts w:ascii="Verdana" w:hAnsi="Verdana" w:cstheme="minorHAnsi"/>
              </w:rPr>
              <w:t>delivered in partnership with the curriculum</w:t>
            </w:r>
            <w:r w:rsidR="0028769A">
              <w:rPr>
                <w:rFonts w:ascii="Verdana" w:hAnsi="Verdana" w:cstheme="minorHAnsi"/>
              </w:rPr>
              <w:t>, with</w:t>
            </w:r>
            <w:r w:rsidRPr="007C6EA2">
              <w:rPr>
                <w:rFonts w:ascii="Verdana" w:hAnsi="Verdana" w:cstheme="minorHAnsi"/>
              </w:rPr>
              <w:t xml:space="preserve"> students involved as part of their course. </w:t>
            </w:r>
            <w:r w:rsidR="0028769A">
              <w:rPr>
                <w:rFonts w:ascii="Verdana" w:hAnsi="Verdana" w:cstheme="minorHAnsi"/>
              </w:rPr>
              <w:t xml:space="preserve"> </w:t>
            </w:r>
          </w:p>
          <w:p w14:paraId="101DED30" w14:textId="77777777" w:rsidR="007C6EA2" w:rsidRPr="007C6EA2" w:rsidRDefault="007C6EA2" w:rsidP="007C6EA2">
            <w:pPr>
              <w:rPr>
                <w:rFonts w:ascii="Verdana" w:hAnsi="Verdana" w:cstheme="minorHAnsi"/>
              </w:rPr>
            </w:pPr>
          </w:p>
          <w:p w14:paraId="4DB99001" w14:textId="34C3671A" w:rsidR="007C6EA2" w:rsidRPr="0028769A" w:rsidRDefault="0028769A" w:rsidP="0028769A">
            <w:pPr>
              <w:rPr>
                <w:rFonts w:ascii="Verdana" w:hAnsi="Verdana"/>
              </w:rPr>
            </w:pPr>
            <w:r>
              <w:rPr>
                <w:rFonts w:ascii="Verdana" w:hAnsi="Verdana"/>
              </w:rPr>
              <w:t>The College</w:t>
            </w:r>
            <w:r w:rsidR="007C6EA2" w:rsidRPr="007C6EA2">
              <w:rPr>
                <w:rFonts w:ascii="Verdana" w:hAnsi="Verdana"/>
              </w:rPr>
              <w:t xml:space="preserve"> expect</w:t>
            </w:r>
            <w:r>
              <w:rPr>
                <w:rFonts w:ascii="Verdana" w:hAnsi="Verdana"/>
              </w:rPr>
              <w:t>s</w:t>
            </w:r>
            <w:r w:rsidR="007C6EA2" w:rsidRPr="007C6EA2">
              <w:rPr>
                <w:rFonts w:ascii="Verdana" w:hAnsi="Verdana"/>
              </w:rPr>
              <w:t xml:space="preserve"> that </w:t>
            </w:r>
            <w:r w:rsidR="00C355EA">
              <w:rPr>
                <w:rFonts w:ascii="Verdana" w:hAnsi="Verdana"/>
              </w:rPr>
              <w:t>activities</w:t>
            </w:r>
            <w:r w:rsidR="007C6EA2" w:rsidRPr="007C6EA2">
              <w:rPr>
                <w:rFonts w:ascii="Verdana" w:hAnsi="Verdana"/>
              </w:rPr>
              <w:t xml:space="preserve"> will continue either face</w:t>
            </w:r>
            <w:r w:rsidR="00C355EA">
              <w:rPr>
                <w:rFonts w:ascii="Verdana" w:hAnsi="Verdana"/>
              </w:rPr>
              <w:t>-</w:t>
            </w:r>
            <w:r w:rsidR="007C6EA2" w:rsidRPr="007C6EA2">
              <w:rPr>
                <w:rFonts w:ascii="Verdana" w:hAnsi="Verdana"/>
              </w:rPr>
              <w:t>to</w:t>
            </w:r>
            <w:r w:rsidR="00C355EA">
              <w:rPr>
                <w:rFonts w:ascii="Verdana" w:hAnsi="Verdana"/>
              </w:rPr>
              <w:t>-</w:t>
            </w:r>
            <w:r w:rsidR="007C6EA2" w:rsidRPr="007C6EA2">
              <w:rPr>
                <w:rFonts w:ascii="Verdana" w:hAnsi="Verdana"/>
              </w:rPr>
              <w:t>face or in an online format and</w:t>
            </w:r>
            <w:r w:rsidR="00C355EA">
              <w:rPr>
                <w:rFonts w:ascii="Verdana" w:hAnsi="Verdana"/>
              </w:rPr>
              <w:t xml:space="preserve"> that they</w:t>
            </w:r>
            <w:r w:rsidR="007C6EA2" w:rsidRPr="007C6EA2">
              <w:rPr>
                <w:rFonts w:ascii="Verdana" w:hAnsi="Verdana"/>
              </w:rPr>
              <w:t xml:space="preserve"> could be expanded to include</w:t>
            </w:r>
            <w:r>
              <w:rPr>
                <w:rFonts w:ascii="Verdana" w:hAnsi="Verdana"/>
              </w:rPr>
              <w:t xml:space="preserve"> </w:t>
            </w:r>
            <w:r w:rsidR="007C6EA2" w:rsidRPr="007C6EA2">
              <w:rPr>
                <w:rFonts w:ascii="Verdana" w:hAnsi="Verdana"/>
              </w:rPr>
              <w:t xml:space="preserve">different elements </w:t>
            </w:r>
            <w:r w:rsidR="00C355EA">
              <w:rPr>
                <w:rFonts w:ascii="Verdana" w:hAnsi="Verdana"/>
              </w:rPr>
              <w:t>so as to give</w:t>
            </w:r>
            <w:r w:rsidR="007C6EA2" w:rsidRPr="007C6EA2">
              <w:rPr>
                <w:rFonts w:ascii="Verdana" w:hAnsi="Verdana"/>
              </w:rPr>
              <w:t xml:space="preserve"> the flavour of a ‘placement’. </w:t>
            </w:r>
            <w:r w:rsidR="00C355EA">
              <w:rPr>
                <w:rFonts w:ascii="Verdana" w:hAnsi="Verdana"/>
              </w:rPr>
              <w:t xml:space="preserve"> </w:t>
            </w:r>
            <w:r w:rsidR="007C6EA2" w:rsidRPr="007C6EA2">
              <w:rPr>
                <w:rFonts w:ascii="Verdana" w:hAnsi="Verdana"/>
              </w:rPr>
              <w:t xml:space="preserve">An employability programme has been designed by the Careers and Employability Team for students to complete during their online learning </w:t>
            </w:r>
            <w:r w:rsidR="007C6EA2" w:rsidRPr="0028769A">
              <w:rPr>
                <w:rFonts w:ascii="Verdana" w:hAnsi="Verdana"/>
              </w:rPr>
              <w:t xml:space="preserve">week over the </w:t>
            </w:r>
            <w:r w:rsidR="00CF628A">
              <w:rPr>
                <w:rFonts w:ascii="Verdana" w:hAnsi="Verdana"/>
              </w:rPr>
              <w:t>Winter/</w:t>
            </w:r>
            <w:r w:rsidRPr="0028769A">
              <w:rPr>
                <w:rFonts w:ascii="Verdana" w:hAnsi="Verdana"/>
              </w:rPr>
              <w:t>Spring</w:t>
            </w:r>
            <w:r w:rsidR="007C6EA2" w:rsidRPr="0028769A">
              <w:rPr>
                <w:rFonts w:ascii="Verdana" w:hAnsi="Verdana"/>
              </w:rPr>
              <w:t xml:space="preserve"> Term</w:t>
            </w:r>
            <w:r w:rsidR="00CF628A">
              <w:rPr>
                <w:rFonts w:ascii="Verdana" w:hAnsi="Verdana"/>
              </w:rPr>
              <w:t xml:space="preserve"> to include </w:t>
            </w:r>
            <w:r w:rsidR="007C6EA2" w:rsidRPr="0028769A">
              <w:rPr>
                <w:rFonts w:ascii="Verdana" w:hAnsi="Verdana"/>
              </w:rPr>
              <w:t xml:space="preserve">aspects </w:t>
            </w:r>
            <w:r w:rsidR="00C355EA">
              <w:rPr>
                <w:rFonts w:ascii="Verdana" w:hAnsi="Verdana"/>
              </w:rPr>
              <w:t>including</w:t>
            </w:r>
            <w:r w:rsidR="007C6EA2" w:rsidRPr="0028769A">
              <w:rPr>
                <w:rFonts w:ascii="Verdana" w:hAnsi="Verdana"/>
              </w:rPr>
              <w:t xml:space="preserve"> communication skills, emotional intelligence, networking and presentation skills. </w:t>
            </w:r>
          </w:p>
          <w:p w14:paraId="5636A560" w14:textId="77777777" w:rsidR="0028769A" w:rsidRPr="0028769A" w:rsidRDefault="0028769A" w:rsidP="0028769A">
            <w:pPr>
              <w:rPr>
                <w:rFonts w:ascii="Verdana" w:hAnsi="Verdana"/>
              </w:rPr>
            </w:pPr>
          </w:p>
          <w:p w14:paraId="2B7755FF" w14:textId="12743B04" w:rsidR="0028769A" w:rsidRDefault="00334B5C" w:rsidP="0028769A">
            <w:pPr>
              <w:rPr>
                <w:rFonts w:ascii="Verdana" w:hAnsi="Verdana"/>
              </w:rPr>
            </w:pPr>
            <w:r w:rsidRPr="00AD7C82">
              <w:rPr>
                <w:rFonts w:ascii="Verdana" w:hAnsi="Verdana"/>
              </w:rPr>
              <w:t>In view of the prevailing circumstances</w:t>
            </w:r>
            <w:r w:rsidR="0028769A" w:rsidRPr="00AD7C82">
              <w:rPr>
                <w:rFonts w:ascii="Verdana" w:hAnsi="Verdana"/>
              </w:rPr>
              <w:t xml:space="preserve">, it </w:t>
            </w:r>
            <w:r w:rsidR="00CF628A" w:rsidRPr="00AD7C82">
              <w:rPr>
                <w:rFonts w:ascii="Verdana" w:hAnsi="Verdana"/>
              </w:rPr>
              <w:t>had been</w:t>
            </w:r>
            <w:r w:rsidR="0028769A" w:rsidRPr="00AD7C82">
              <w:rPr>
                <w:rFonts w:ascii="Verdana" w:hAnsi="Verdana"/>
              </w:rPr>
              <w:t xml:space="preserve"> proposed that the KPI for work experience in 2020-21 be changed to</w:t>
            </w:r>
            <w:r w:rsidR="00CF628A" w:rsidRPr="00AD7C82">
              <w:rPr>
                <w:rFonts w:ascii="Verdana" w:hAnsi="Verdana"/>
              </w:rPr>
              <w:t xml:space="preserve"> refer to</w:t>
            </w:r>
            <w:r w:rsidR="0028769A" w:rsidRPr="00AD7C82">
              <w:rPr>
                <w:rFonts w:ascii="Verdana" w:hAnsi="Verdana"/>
              </w:rPr>
              <w:t xml:space="preserve"> the number of students completing either a Work Experience Placement or a</w:t>
            </w:r>
            <w:r w:rsidR="00C355EA" w:rsidRPr="00AD7C82">
              <w:rPr>
                <w:rFonts w:ascii="Verdana" w:hAnsi="Verdana"/>
              </w:rPr>
              <w:t>n equivalent</w:t>
            </w:r>
            <w:r w:rsidR="0028769A" w:rsidRPr="00AD7C82">
              <w:rPr>
                <w:rFonts w:ascii="Verdana" w:hAnsi="Verdana"/>
              </w:rPr>
              <w:t xml:space="preserve"> Project.  I</w:t>
            </w:r>
            <w:r w:rsidRPr="00AD7C82">
              <w:rPr>
                <w:rFonts w:ascii="Verdana" w:hAnsi="Verdana"/>
              </w:rPr>
              <w:t>t was noted that i</w:t>
            </w:r>
            <w:r w:rsidR="0028769A" w:rsidRPr="00AD7C82">
              <w:rPr>
                <w:rFonts w:ascii="Verdana" w:hAnsi="Verdana"/>
              </w:rPr>
              <w:t>n previous years internal targets regarding Work Experience Projects ha</w:t>
            </w:r>
            <w:r w:rsidRPr="00AD7C82">
              <w:rPr>
                <w:rFonts w:ascii="Verdana" w:hAnsi="Verdana"/>
              </w:rPr>
              <w:t>d</w:t>
            </w:r>
            <w:r w:rsidR="0028769A" w:rsidRPr="00AD7C82">
              <w:rPr>
                <w:rFonts w:ascii="Verdana" w:hAnsi="Verdana"/>
              </w:rPr>
              <w:t xml:space="preserve"> been set </w:t>
            </w:r>
            <w:r w:rsidRPr="00AD7C82">
              <w:rPr>
                <w:rFonts w:ascii="Verdana" w:hAnsi="Verdana"/>
              </w:rPr>
              <w:t>by reference to</w:t>
            </w:r>
            <w:r w:rsidR="0028769A" w:rsidRPr="00AD7C82">
              <w:rPr>
                <w:rFonts w:ascii="Verdana" w:hAnsi="Verdana"/>
              </w:rPr>
              <w:t xml:space="preserve"> all students (including</w:t>
            </w:r>
            <w:r w:rsidRPr="00AD7C82">
              <w:rPr>
                <w:rFonts w:ascii="Verdana" w:hAnsi="Verdana"/>
              </w:rPr>
              <w:t xml:space="preserve"> those studying</w:t>
            </w:r>
            <w:r w:rsidR="0028769A" w:rsidRPr="00AD7C82">
              <w:rPr>
                <w:rFonts w:ascii="Verdana" w:hAnsi="Verdana"/>
              </w:rPr>
              <w:t xml:space="preserve"> A Levels).</w:t>
            </w:r>
            <w:r w:rsidR="0028769A" w:rsidRPr="008A7039">
              <w:rPr>
                <w:rFonts w:ascii="Verdana" w:hAnsi="Verdana"/>
              </w:rPr>
              <w:t xml:space="preserve"> </w:t>
            </w:r>
            <w:r w:rsidR="00CF628A" w:rsidRPr="008A7039">
              <w:rPr>
                <w:rFonts w:ascii="Verdana" w:hAnsi="Verdana"/>
              </w:rPr>
              <w:t xml:space="preserve"> </w:t>
            </w:r>
          </w:p>
          <w:p w14:paraId="1008C06E" w14:textId="3ACAE360" w:rsidR="002A16EC" w:rsidRDefault="002A16EC" w:rsidP="0028769A">
            <w:pPr>
              <w:rPr>
                <w:rFonts w:ascii="Verdana" w:hAnsi="Verdana"/>
              </w:rPr>
            </w:pPr>
          </w:p>
          <w:p w14:paraId="4C37A36A" w14:textId="5A236936" w:rsidR="002A16EC" w:rsidRDefault="002A16EC" w:rsidP="002A16EC">
            <w:pPr>
              <w:rPr>
                <w:rFonts w:ascii="Verdana" w:hAnsi="Verdana"/>
              </w:rPr>
            </w:pPr>
            <w:r>
              <w:rPr>
                <w:rFonts w:ascii="Verdana" w:hAnsi="Verdana"/>
              </w:rPr>
              <w:t xml:space="preserve">During the previous year, 57% of students had completed a project with an employer.  In response to questions from members, it was clarified that work is underway with employers to transfer the projects from last year to online opportunities in the current year.  The College is also working with employers who have previously offered work experience placements to develop a range of project opportunities, with promising progress so far in this area. </w:t>
            </w:r>
          </w:p>
          <w:p w14:paraId="1481A22F" w14:textId="4DD283AF" w:rsidR="002A16EC" w:rsidRDefault="002A16EC" w:rsidP="0028769A">
            <w:pPr>
              <w:rPr>
                <w:rFonts w:ascii="Verdana" w:hAnsi="Verdana"/>
              </w:rPr>
            </w:pPr>
          </w:p>
          <w:p w14:paraId="0A4831D8" w14:textId="642DD01D" w:rsidR="002A16EC" w:rsidRDefault="002A16EC" w:rsidP="002A16EC">
            <w:pPr>
              <w:rPr>
                <w:rFonts w:ascii="Verdana" w:hAnsi="Verdana"/>
              </w:rPr>
            </w:pPr>
            <w:r>
              <w:rPr>
                <w:rFonts w:ascii="Verdana" w:hAnsi="Verdana"/>
              </w:rPr>
              <w:t>In response to questions from members, it was confirmed that a work experience project comprises an employer interaction that includes features such as a ‘live brief’, mentoring, work visit/shadowing.  ‘Career talks’ from employers, whilst valuable for students, do not count as a work experience project.</w:t>
            </w:r>
          </w:p>
          <w:p w14:paraId="4C95D807" w14:textId="2B8D692C" w:rsidR="002A16EC" w:rsidRDefault="002A16EC" w:rsidP="002A16EC">
            <w:pPr>
              <w:rPr>
                <w:rFonts w:ascii="Verdana" w:hAnsi="Verdana"/>
              </w:rPr>
            </w:pPr>
          </w:p>
          <w:p w14:paraId="433B9213" w14:textId="20B87F64" w:rsidR="002A16EC" w:rsidRPr="008A7039" w:rsidRDefault="002A16EC" w:rsidP="002A16EC">
            <w:pPr>
              <w:rPr>
                <w:rFonts w:ascii="Verdana" w:hAnsi="Verdana"/>
              </w:rPr>
            </w:pPr>
            <w:r>
              <w:rPr>
                <w:rFonts w:ascii="Verdana" w:hAnsi="Verdana"/>
              </w:rPr>
              <w:t xml:space="preserve">It was also noted that new partnerships with employers are being actively developed.  However, it may be the case that these projects lead to valuable experiences for only a small number of students, rather than at scale. The College does not therefore anticipate that these will extend to all students, particularly those studying for A levels who have not historically had the same level of employer connections as vocational courses (although this has improved in recent years).  A target of 60% had been initially proposed, but members agreed that this target should be set at 80% in order that the College </w:t>
            </w:r>
            <w:r w:rsidR="00331281">
              <w:rPr>
                <w:rFonts w:ascii="Verdana" w:hAnsi="Verdana"/>
              </w:rPr>
              <w:t>might</w:t>
            </w:r>
            <w:r>
              <w:rPr>
                <w:rFonts w:ascii="Verdana" w:hAnsi="Verdana"/>
              </w:rPr>
              <w:t xml:space="preserve"> stretch these opportunities to as many students as possible.</w:t>
            </w:r>
            <w:r w:rsidRPr="008A7039">
              <w:rPr>
                <w:rFonts w:ascii="Verdana" w:hAnsi="Verdana"/>
              </w:rPr>
              <w:t xml:space="preserve"> </w:t>
            </w:r>
          </w:p>
          <w:p w14:paraId="2012BF78" w14:textId="77777777" w:rsidR="002A16EC" w:rsidRPr="008A7039" w:rsidRDefault="002A16EC" w:rsidP="0028769A">
            <w:pPr>
              <w:rPr>
                <w:rFonts w:ascii="Verdana" w:hAnsi="Verdana"/>
              </w:rPr>
            </w:pPr>
          </w:p>
          <w:p w14:paraId="6C3DC5CC" w14:textId="0F2252A5" w:rsidR="00D05E08" w:rsidRPr="00D05E08" w:rsidRDefault="00334B5C" w:rsidP="00D05E08">
            <w:pPr>
              <w:rPr>
                <w:rFonts w:ascii="Verdana" w:hAnsi="Verdana"/>
              </w:rPr>
            </w:pPr>
            <w:r w:rsidRPr="00D05E08">
              <w:rPr>
                <w:rFonts w:ascii="Verdana" w:hAnsi="Verdana"/>
              </w:rPr>
              <w:t>Members commented that the College’s students</w:t>
            </w:r>
            <w:r w:rsidR="00452073" w:rsidRPr="00D05E08">
              <w:rPr>
                <w:rFonts w:ascii="Verdana" w:hAnsi="Verdana"/>
              </w:rPr>
              <w:t xml:space="preserve"> </w:t>
            </w:r>
            <w:r w:rsidRPr="00D05E08">
              <w:rPr>
                <w:rFonts w:ascii="Verdana" w:hAnsi="Verdana"/>
              </w:rPr>
              <w:t>have a particular need for good employer contacts to overcome their in-built disadvantages in relation to the labour market, and that the activity remains important even under present conditions.</w:t>
            </w:r>
            <w:r w:rsidR="00D05E08" w:rsidRPr="00D05E08">
              <w:rPr>
                <w:rFonts w:ascii="Verdana" w:hAnsi="Verdana"/>
              </w:rPr>
              <w:t xml:space="preserve">  It was questioned whether, in lieu of work experience opportunities in the current year, more activities might be offered within the College to help prepare students for working life </w:t>
            </w:r>
          </w:p>
          <w:p w14:paraId="53BEBD66" w14:textId="77777777" w:rsidR="00334B5C" w:rsidRDefault="00334B5C" w:rsidP="0028769A">
            <w:pPr>
              <w:rPr>
                <w:rFonts w:ascii="Verdana" w:hAnsi="Verdana"/>
              </w:rPr>
            </w:pPr>
          </w:p>
          <w:p w14:paraId="5125ED16" w14:textId="77777777" w:rsidR="00334B5C" w:rsidRDefault="00334B5C" w:rsidP="0028769A">
            <w:pPr>
              <w:rPr>
                <w:rFonts w:ascii="Verdana" w:hAnsi="Verdana"/>
              </w:rPr>
            </w:pPr>
            <w:r>
              <w:rPr>
                <w:rFonts w:ascii="Verdana" w:hAnsi="Verdana"/>
              </w:rPr>
              <w:lastRenderedPageBreak/>
              <w:t>It was reported that a number of companies are keen to participate, though the number of students that can be accommodated is likely to vary between organisations.  Online employability programmes centred on employer participation might also substitute for work experience in some instances.</w:t>
            </w:r>
          </w:p>
          <w:p w14:paraId="629DFCA4" w14:textId="77777777" w:rsidR="00334B5C" w:rsidRDefault="00334B5C" w:rsidP="0028769A">
            <w:pPr>
              <w:rPr>
                <w:rFonts w:ascii="Verdana" w:hAnsi="Verdana"/>
              </w:rPr>
            </w:pPr>
          </w:p>
          <w:p w14:paraId="7F5CBBB7" w14:textId="7D8C5261" w:rsidR="00331281" w:rsidRDefault="00331281" w:rsidP="00331281">
            <w:pPr>
              <w:rPr>
                <w:rFonts w:ascii="Verdana" w:hAnsi="Verdana"/>
              </w:rPr>
            </w:pPr>
            <w:r>
              <w:rPr>
                <w:rFonts w:ascii="Verdana" w:hAnsi="Verdana"/>
              </w:rPr>
              <w:t xml:space="preserve">Members felt that changing the in-year target for work experience placements might lead to it being determined on what is currently set to be achieved, rather than providing a stretching target. It was agreed that the KPI for work experience placements should be kept as a method of monitoring the impact of the pandemic on the creation of placements. It was </w:t>
            </w:r>
            <w:r w:rsidR="00AD7C82">
              <w:rPr>
                <w:rFonts w:ascii="Verdana" w:hAnsi="Verdana"/>
              </w:rPr>
              <w:t>proposed</w:t>
            </w:r>
            <w:r>
              <w:rPr>
                <w:rFonts w:ascii="Verdana" w:hAnsi="Verdana"/>
              </w:rPr>
              <w:t xml:space="preserve"> that the target for the number of work experience placements should</w:t>
            </w:r>
            <w:r w:rsidR="00AD7C82">
              <w:rPr>
                <w:rFonts w:ascii="Verdana" w:hAnsi="Verdana"/>
              </w:rPr>
              <w:t xml:space="preserve"> be set at 80% for the </w:t>
            </w:r>
            <w:r w:rsidR="00AD7C82" w:rsidRPr="00AD7C82">
              <w:rPr>
                <w:rFonts w:ascii="Verdana" w:hAnsi="Verdana"/>
                <w:i/>
                <w:iCs/>
              </w:rPr>
              <w:t>new</w:t>
            </w:r>
            <w:r w:rsidR="00AD7C82">
              <w:rPr>
                <w:rFonts w:ascii="Verdana" w:hAnsi="Verdana"/>
              </w:rPr>
              <w:t xml:space="preserve"> KPI and</w:t>
            </w:r>
            <w:r>
              <w:rPr>
                <w:rFonts w:ascii="Verdana" w:hAnsi="Verdana"/>
              </w:rPr>
              <w:t xml:space="preserve"> remain at 80% for the</w:t>
            </w:r>
            <w:r w:rsidR="00AD7C82">
              <w:rPr>
                <w:rFonts w:ascii="Verdana" w:hAnsi="Verdana"/>
              </w:rPr>
              <w:t xml:space="preserve"> </w:t>
            </w:r>
            <w:r w:rsidR="00AD7C82" w:rsidRPr="00AD7C82">
              <w:rPr>
                <w:rFonts w:ascii="Verdana" w:hAnsi="Verdana"/>
                <w:i/>
                <w:iCs/>
              </w:rPr>
              <w:t>existing</w:t>
            </w:r>
            <w:r w:rsidR="00AD7C82">
              <w:rPr>
                <w:rFonts w:ascii="Verdana" w:hAnsi="Verdana"/>
              </w:rPr>
              <w:t xml:space="preserve"> KPI for</w:t>
            </w:r>
            <w:r>
              <w:rPr>
                <w:rFonts w:ascii="Verdana" w:hAnsi="Verdana"/>
              </w:rPr>
              <w:t xml:space="preserve"> ease of year-on-year comparisons, but that the reasons for not being able to meet target</w:t>
            </w:r>
            <w:r w:rsidR="00AD7C82">
              <w:rPr>
                <w:rFonts w:ascii="Verdana" w:hAnsi="Verdana"/>
              </w:rPr>
              <w:t>s</w:t>
            </w:r>
            <w:r>
              <w:rPr>
                <w:rFonts w:ascii="Verdana" w:hAnsi="Verdana"/>
              </w:rPr>
              <w:t xml:space="preserve"> </w:t>
            </w:r>
            <w:r w:rsidR="00AD7C82">
              <w:rPr>
                <w:rFonts w:ascii="Verdana" w:hAnsi="Verdana"/>
              </w:rPr>
              <w:t>owing to</w:t>
            </w:r>
            <w:r>
              <w:rPr>
                <w:rFonts w:ascii="Verdana" w:hAnsi="Verdana"/>
              </w:rPr>
              <w:t xml:space="preserve"> </w:t>
            </w:r>
            <w:r w:rsidR="00AD7C82">
              <w:rPr>
                <w:rFonts w:ascii="Verdana" w:hAnsi="Verdana"/>
              </w:rPr>
              <w:t xml:space="preserve">the </w:t>
            </w:r>
            <w:r>
              <w:rPr>
                <w:rFonts w:ascii="Verdana" w:hAnsi="Verdana"/>
              </w:rPr>
              <w:t>public health emergency would be reported to the Committee.</w:t>
            </w:r>
          </w:p>
          <w:p w14:paraId="239A60C8" w14:textId="77777777" w:rsidR="00331281" w:rsidRDefault="00331281" w:rsidP="00331281">
            <w:pPr>
              <w:rPr>
                <w:rFonts w:ascii="Verdana" w:hAnsi="Verdana"/>
              </w:rPr>
            </w:pPr>
          </w:p>
          <w:p w14:paraId="747F9186" w14:textId="0B414D9A" w:rsidR="00331281" w:rsidRDefault="00331281" w:rsidP="00331281">
            <w:pPr>
              <w:rPr>
                <w:rFonts w:ascii="Verdana" w:hAnsi="Verdana"/>
              </w:rPr>
            </w:pPr>
            <w:r>
              <w:rPr>
                <w:rFonts w:ascii="Verdana" w:hAnsi="Verdana"/>
              </w:rPr>
              <w:t>The Vice-Principal (</w:t>
            </w:r>
            <w:r w:rsidRPr="00FE7EDC">
              <w:rPr>
                <w:rFonts w:ascii="Verdana" w:hAnsi="Verdana"/>
              </w:rPr>
              <w:t>Student S</w:t>
            </w:r>
            <w:r>
              <w:rPr>
                <w:rFonts w:ascii="Verdana" w:hAnsi="Verdana"/>
              </w:rPr>
              <w:t>ervices and Recruitment) noted that communications with staff would</w:t>
            </w:r>
            <w:r w:rsidR="00AD7C82">
              <w:rPr>
                <w:rFonts w:ascii="Verdana" w:hAnsi="Verdana"/>
              </w:rPr>
              <w:t xml:space="preserve"> need to be</w:t>
            </w:r>
            <w:r>
              <w:rPr>
                <w:rFonts w:ascii="Verdana" w:hAnsi="Verdana"/>
              </w:rPr>
              <w:t xml:space="preserve"> carefully managed with regard to the KPI on work experience placements, not only because we expect staff to focus o</w:t>
            </w:r>
            <w:r w:rsidR="00AD7C82">
              <w:rPr>
                <w:rFonts w:ascii="Verdana" w:hAnsi="Verdana"/>
              </w:rPr>
              <w:t>n</w:t>
            </w:r>
            <w:r>
              <w:rPr>
                <w:rFonts w:ascii="Verdana" w:hAnsi="Verdana"/>
              </w:rPr>
              <w:t xml:space="preserve"> the delivery of work experience projects (as these are more likely to be achieved this year), but also to reinforce to managers and Careers/Employability staff that this KPI has being kept for ease of year-on-year comparisons and not as a basis for performance management.</w:t>
            </w:r>
            <w:r w:rsidR="00AD7C82">
              <w:rPr>
                <w:rFonts w:ascii="Verdana" w:hAnsi="Verdana"/>
              </w:rPr>
              <w:t xml:space="preserve"> </w:t>
            </w:r>
          </w:p>
          <w:p w14:paraId="5CFEBCB6" w14:textId="77777777" w:rsidR="00331281" w:rsidRDefault="00331281" w:rsidP="00331281">
            <w:pPr>
              <w:rPr>
                <w:rFonts w:ascii="Verdana" w:hAnsi="Verdana"/>
              </w:rPr>
            </w:pPr>
          </w:p>
          <w:p w14:paraId="11E72D95" w14:textId="27170665" w:rsidR="00331281" w:rsidRPr="006D35B2" w:rsidRDefault="00331281" w:rsidP="00331281">
            <w:pPr>
              <w:rPr>
                <w:rFonts w:ascii="Verdana" w:hAnsi="Verdana"/>
              </w:rPr>
            </w:pPr>
            <w:r>
              <w:rPr>
                <w:rFonts w:ascii="Verdana" w:hAnsi="Verdana"/>
              </w:rPr>
              <w:t xml:space="preserve">It was therefore agreed that work experience projects be reported against </w:t>
            </w:r>
            <w:r w:rsidR="00AD7C82">
              <w:rPr>
                <w:rFonts w:ascii="Verdana" w:hAnsi="Verdana"/>
              </w:rPr>
              <w:t>the</w:t>
            </w:r>
            <w:r>
              <w:rPr>
                <w:rFonts w:ascii="Verdana" w:hAnsi="Verdana"/>
              </w:rPr>
              <w:t xml:space="preserve"> proposed new KPI, but that the original KPI for work experience also be retained for ease of year-on-year comparisons</w:t>
            </w:r>
            <w:r w:rsidR="00AD7C82">
              <w:rPr>
                <w:rFonts w:ascii="Verdana" w:hAnsi="Verdana"/>
              </w:rPr>
              <w:t>, with 80% the target in each instance.</w:t>
            </w:r>
          </w:p>
        </w:tc>
      </w:tr>
    </w:tbl>
    <w:p w14:paraId="656A082F" w14:textId="01870F5F" w:rsidR="00EC43ED" w:rsidRDefault="00EC43ED" w:rsidP="00626F4B">
      <w:pPr>
        <w:rPr>
          <w:color w:val="FF0000"/>
        </w:rPr>
      </w:pPr>
    </w:p>
    <w:p w14:paraId="35655A39" w14:textId="0C4304B8" w:rsidR="00C3258E" w:rsidRDefault="00C3258E" w:rsidP="00626F4B">
      <w:pPr>
        <w:rPr>
          <w:color w:val="FF0000"/>
        </w:rPr>
      </w:pPr>
    </w:p>
    <w:p w14:paraId="0218B4C7" w14:textId="08DBF709" w:rsidR="00C3258E" w:rsidRDefault="00C3258E" w:rsidP="00626F4B">
      <w:pPr>
        <w:rPr>
          <w:color w:val="FF0000"/>
        </w:rPr>
      </w:pPr>
    </w:p>
    <w:p w14:paraId="79A0C559" w14:textId="27BFD731" w:rsidR="00C3258E" w:rsidRDefault="00C3258E" w:rsidP="00626F4B">
      <w:pPr>
        <w:rPr>
          <w:color w:val="FF0000"/>
        </w:rPr>
      </w:pPr>
    </w:p>
    <w:p w14:paraId="05AF44B4" w14:textId="2FEB4EF6" w:rsidR="00C3258E" w:rsidRDefault="00C3258E" w:rsidP="00626F4B">
      <w:pPr>
        <w:rPr>
          <w:color w:val="FF0000"/>
        </w:rPr>
      </w:pPr>
    </w:p>
    <w:p w14:paraId="7140F53A" w14:textId="640CA54F" w:rsidR="00C3258E" w:rsidRDefault="00C3258E" w:rsidP="00626F4B">
      <w:pPr>
        <w:rPr>
          <w:color w:val="FF0000"/>
        </w:rPr>
      </w:pPr>
    </w:p>
    <w:p w14:paraId="542EAFA0" w14:textId="1E14647E" w:rsidR="00C3258E" w:rsidRDefault="00C3258E" w:rsidP="00626F4B">
      <w:pPr>
        <w:rPr>
          <w:color w:val="FF0000"/>
        </w:rPr>
      </w:pPr>
    </w:p>
    <w:p w14:paraId="0F6007AC" w14:textId="7213196A" w:rsidR="00C3258E" w:rsidRDefault="00C3258E" w:rsidP="00626F4B">
      <w:pPr>
        <w:rPr>
          <w:color w:val="FF0000"/>
        </w:rPr>
      </w:pPr>
    </w:p>
    <w:p w14:paraId="61C2DFBB" w14:textId="0C0DFC40" w:rsidR="00C3258E" w:rsidRDefault="00C3258E" w:rsidP="00626F4B">
      <w:pPr>
        <w:rPr>
          <w:color w:val="FF0000"/>
        </w:rPr>
      </w:pPr>
    </w:p>
    <w:p w14:paraId="0F92EBA2" w14:textId="12666B2A" w:rsidR="00C3258E" w:rsidRDefault="00C3258E" w:rsidP="00626F4B">
      <w:pPr>
        <w:rPr>
          <w:color w:val="FF0000"/>
        </w:rPr>
      </w:pPr>
    </w:p>
    <w:p w14:paraId="7E29DE68" w14:textId="274625CE" w:rsidR="00C3258E" w:rsidRDefault="00C3258E" w:rsidP="00626F4B">
      <w:pPr>
        <w:rPr>
          <w:color w:val="FF0000"/>
        </w:rPr>
      </w:pPr>
    </w:p>
    <w:p w14:paraId="49252A93" w14:textId="31DF21F8" w:rsidR="00C3258E" w:rsidRDefault="00C3258E" w:rsidP="00626F4B">
      <w:pPr>
        <w:rPr>
          <w:color w:val="FF0000"/>
        </w:rPr>
      </w:pPr>
    </w:p>
    <w:p w14:paraId="5826F565" w14:textId="69A0F669" w:rsidR="00C3258E" w:rsidRDefault="00C3258E" w:rsidP="00626F4B">
      <w:pPr>
        <w:rPr>
          <w:color w:val="FF0000"/>
        </w:rPr>
      </w:pPr>
    </w:p>
    <w:p w14:paraId="5F1A085D" w14:textId="04BFB90C" w:rsidR="00C3258E" w:rsidRDefault="00C3258E" w:rsidP="00626F4B">
      <w:pPr>
        <w:rPr>
          <w:color w:val="FF0000"/>
        </w:rPr>
      </w:pPr>
    </w:p>
    <w:p w14:paraId="4A2AABFE" w14:textId="621516AC" w:rsidR="00C3258E" w:rsidRDefault="00C3258E" w:rsidP="00626F4B">
      <w:pPr>
        <w:rPr>
          <w:color w:val="FF0000"/>
        </w:rPr>
      </w:pPr>
    </w:p>
    <w:p w14:paraId="5E13B7CC" w14:textId="357EFBDB" w:rsidR="00C3258E" w:rsidRDefault="00C3258E" w:rsidP="00626F4B">
      <w:pPr>
        <w:rPr>
          <w:color w:val="FF0000"/>
        </w:rPr>
      </w:pPr>
    </w:p>
    <w:p w14:paraId="6390C5DE" w14:textId="4403B029" w:rsidR="00C3258E" w:rsidRDefault="00C3258E" w:rsidP="00626F4B">
      <w:pPr>
        <w:rPr>
          <w:color w:val="FF0000"/>
        </w:rPr>
      </w:pPr>
    </w:p>
    <w:p w14:paraId="5C89FEEB" w14:textId="35055809" w:rsidR="00C3258E" w:rsidRDefault="00C3258E" w:rsidP="00626F4B">
      <w:pPr>
        <w:rPr>
          <w:color w:val="FF0000"/>
        </w:rPr>
      </w:pPr>
    </w:p>
    <w:p w14:paraId="290F22DE" w14:textId="44B97112" w:rsidR="00C3258E" w:rsidRDefault="00C3258E" w:rsidP="00626F4B">
      <w:pPr>
        <w:rPr>
          <w:color w:val="FF0000"/>
        </w:rPr>
      </w:pPr>
    </w:p>
    <w:p w14:paraId="193391E3" w14:textId="6A707CD7" w:rsidR="00C3258E" w:rsidRDefault="00C3258E" w:rsidP="00626F4B">
      <w:pPr>
        <w:rPr>
          <w:color w:val="FF0000"/>
        </w:rPr>
      </w:pPr>
    </w:p>
    <w:p w14:paraId="787239F7" w14:textId="5126AE38" w:rsidR="00C3258E" w:rsidRDefault="00C3258E" w:rsidP="00626F4B">
      <w:pPr>
        <w:rPr>
          <w:color w:val="FF0000"/>
        </w:rPr>
      </w:pPr>
    </w:p>
    <w:p w14:paraId="53F66CFD" w14:textId="2FC00D2A" w:rsidR="00C3258E" w:rsidRDefault="00C3258E" w:rsidP="00626F4B">
      <w:pPr>
        <w:rPr>
          <w:color w:val="FF0000"/>
        </w:rPr>
      </w:pPr>
    </w:p>
    <w:p w14:paraId="75C5C345" w14:textId="3EE1250E" w:rsidR="00C3258E" w:rsidRDefault="00C3258E" w:rsidP="00626F4B">
      <w:pPr>
        <w:rPr>
          <w:color w:val="FF0000"/>
        </w:rPr>
      </w:pPr>
    </w:p>
    <w:p w14:paraId="5E574EA5" w14:textId="5670F17F" w:rsidR="00C3258E" w:rsidRDefault="00C3258E" w:rsidP="00626F4B">
      <w:pPr>
        <w:rPr>
          <w:color w:val="FF0000"/>
        </w:rPr>
      </w:pPr>
    </w:p>
    <w:p w14:paraId="45ED8202" w14:textId="77777777" w:rsidR="00C3258E" w:rsidRDefault="00C3258E"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272BBF" w:rsidRPr="006D35B2" w14:paraId="49F8DAF1" w14:textId="77777777" w:rsidTr="00876574">
        <w:tc>
          <w:tcPr>
            <w:tcW w:w="529" w:type="dxa"/>
            <w:shd w:val="clear" w:color="auto" w:fill="auto"/>
            <w:tcMar>
              <w:top w:w="0" w:type="dxa"/>
              <w:left w:w="108" w:type="dxa"/>
              <w:bottom w:w="0" w:type="dxa"/>
              <w:right w:w="108" w:type="dxa"/>
            </w:tcMar>
          </w:tcPr>
          <w:p w14:paraId="7B2C6B72" w14:textId="4801F425" w:rsidR="00272BBF" w:rsidRDefault="00D36A46" w:rsidP="005363B3">
            <w:pPr>
              <w:pStyle w:val="NoSpacing"/>
              <w:rPr>
                <w:b/>
              </w:rPr>
            </w:pPr>
            <w:r>
              <w:rPr>
                <w:b/>
              </w:rPr>
              <w:lastRenderedPageBreak/>
              <w:t>8</w:t>
            </w:r>
          </w:p>
        </w:tc>
        <w:tc>
          <w:tcPr>
            <w:tcW w:w="8935" w:type="dxa"/>
            <w:shd w:val="clear" w:color="auto" w:fill="auto"/>
            <w:tcMar>
              <w:top w:w="0" w:type="dxa"/>
              <w:left w:w="108" w:type="dxa"/>
              <w:bottom w:w="0" w:type="dxa"/>
              <w:right w:w="108" w:type="dxa"/>
            </w:tcMar>
          </w:tcPr>
          <w:p w14:paraId="2E13324F" w14:textId="77777777" w:rsidR="00576050" w:rsidRDefault="00576050" w:rsidP="00576050">
            <w:pPr>
              <w:rPr>
                <w:rFonts w:ascii="Verdana" w:hAnsi="Verdana"/>
                <w:b/>
              </w:rPr>
            </w:pPr>
            <w:r w:rsidRPr="00431A61">
              <w:rPr>
                <w:rFonts w:ascii="Verdana" w:hAnsi="Verdana"/>
                <w:b/>
              </w:rPr>
              <w:t>Key Performance Indicators</w:t>
            </w:r>
            <w:r>
              <w:rPr>
                <w:rFonts w:ascii="Verdana" w:hAnsi="Verdana"/>
                <w:b/>
              </w:rPr>
              <w:t xml:space="preserve"> 2019-20 and</w:t>
            </w:r>
            <w:r w:rsidRPr="00431A61">
              <w:rPr>
                <w:rFonts w:ascii="Verdana" w:hAnsi="Verdana"/>
                <w:b/>
              </w:rPr>
              <w:t xml:space="preserve"> </w:t>
            </w:r>
            <w:r>
              <w:rPr>
                <w:rFonts w:ascii="Verdana" w:hAnsi="Verdana"/>
                <w:b/>
              </w:rPr>
              <w:t>2020-21</w:t>
            </w:r>
          </w:p>
          <w:p w14:paraId="4093B437" w14:textId="77777777" w:rsidR="00272BBF" w:rsidRDefault="00272BBF" w:rsidP="005363B3">
            <w:pPr>
              <w:rPr>
                <w:rFonts w:ascii="Verdana" w:hAnsi="Verdana"/>
              </w:rPr>
            </w:pPr>
          </w:p>
          <w:p w14:paraId="18AD433B" w14:textId="4DC767D7" w:rsidR="00272BBF" w:rsidRPr="006D35B2" w:rsidRDefault="00576050" w:rsidP="005363B3">
            <w:pPr>
              <w:rPr>
                <w:rFonts w:ascii="Verdana" w:hAnsi="Verdana"/>
              </w:rPr>
            </w:pPr>
            <w:r>
              <w:rPr>
                <w:rFonts w:ascii="Verdana" w:hAnsi="Verdana"/>
              </w:rPr>
              <w:t>T</w:t>
            </w:r>
            <w:r w:rsidR="00D53DD1">
              <w:rPr>
                <w:rFonts w:ascii="Verdana" w:hAnsi="Verdana"/>
              </w:rPr>
              <w:t>he following</w:t>
            </w:r>
            <w:r>
              <w:rPr>
                <w:rFonts w:ascii="Verdana" w:hAnsi="Verdana"/>
              </w:rPr>
              <w:t xml:space="preserve"> 2019-20 outcomes, where </w:t>
            </w:r>
            <w:r w:rsidR="00096C79">
              <w:rPr>
                <w:rFonts w:ascii="Verdana" w:hAnsi="Verdana"/>
              </w:rPr>
              <w:t>final data are available</w:t>
            </w:r>
            <w:r>
              <w:rPr>
                <w:rFonts w:ascii="Verdana" w:hAnsi="Verdana"/>
              </w:rPr>
              <w:t>,</w:t>
            </w:r>
            <w:r w:rsidR="00D53DD1">
              <w:rPr>
                <w:rFonts w:ascii="Verdana" w:hAnsi="Verdana"/>
              </w:rPr>
              <w:t xml:space="preserve"> w</w:t>
            </w:r>
            <w:r w:rsidR="00606929">
              <w:rPr>
                <w:rFonts w:ascii="Verdana" w:hAnsi="Verdana"/>
              </w:rPr>
              <w:t>ere</w:t>
            </w:r>
            <w:r w:rsidR="00D53DD1">
              <w:rPr>
                <w:rFonts w:ascii="Verdana" w:hAnsi="Verdana"/>
              </w:rPr>
              <w:t xml:space="preserve"> </w:t>
            </w:r>
            <w:r w:rsidR="002E47E5">
              <w:rPr>
                <w:rFonts w:ascii="Verdana" w:hAnsi="Verdana"/>
              </w:rPr>
              <w:t>noted</w:t>
            </w:r>
            <w:r w:rsidR="00D53DD1">
              <w:rPr>
                <w:rFonts w:ascii="Verdana" w:hAnsi="Verdana"/>
              </w:rPr>
              <w:t>:</w:t>
            </w:r>
          </w:p>
        </w:tc>
      </w:tr>
    </w:tbl>
    <w:p w14:paraId="7AEA014A" w14:textId="77777777" w:rsidR="00ED573D" w:rsidRDefault="00ED573D" w:rsidP="00626F4B">
      <w:pPr>
        <w:rPr>
          <w:color w:val="FF0000"/>
        </w:rPr>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843"/>
        <w:gridCol w:w="2126"/>
        <w:gridCol w:w="1418"/>
        <w:gridCol w:w="1418"/>
        <w:gridCol w:w="2268"/>
      </w:tblGrid>
      <w:tr w:rsidR="00463FA1" w14:paraId="5E4B4FBA" w14:textId="7D032E11" w:rsidTr="00876574">
        <w:tc>
          <w:tcPr>
            <w:tcW w:w="562" w:type="dxa"/>
          </w:tcPr>
          <w:p w14:paraId="605B9992" w14:textId="77777777" w:rsidR="00463FA1" w:rsidRDefault="00463FA1" w:rsidP="00463FA1">
            <w:pPr>
              <w:rPr>
                <w:color w:val="FF0000"/>
              </w:rPr>
            </w:pPr>
          </w:p>
        </w:tc>
        <w:tc>
          <w:tcPr>
            <w:tcW w:w="1843" w:type="dxa"/>
            <w:vAlign w:val="center"/>
          </w:tcPr>
          <w:p w14:paraId="351F55F3" w14:textId="717445C4" w:rsidR="00463FA1" w:rsidRPr="000E6026" w:rsidRDefault="00463FA1" w:rsidP="00463FA1">
            <w:pPr>
              <w:rPr>
                <w:rFonts w:ascii="Verdana" w:hAnsi="Verdana"/>
              </w:rPr>
            </w:pPr>
            <w:r w:rsidRPr="000E6026">
              <w:rPr>
                <w:rFonts w:ascii="Verdana" w:hAnsi="Verdana"/>
                <w:b/>
              </w:rPr>
              <w:t>Performance Indicator</w:t>
            </w:r>
          </w:p>
        </w:tc>
        <w:tc>
          <w:tcPr>
            <w:tcW w:w="2126" w:type="dxa"/>
            <w:vAlign w:val="center"/>
          </w:tcPr>
          <w:p w14:paraId="0E3111F0" w14:textId="500B9094" w:rsidR="00463FA1" w:rsidRPr="00EC43ED" w:rsidRDefault="00463FA1" w:rsidP="00463FA1">
            <w:pPr>
              <w:rPr>
                <w:rFonts w:ascii="Verdana" w:hAnsi="Verdana"/>
              </w:rPr>
            </w:pPr>
            <w:r w:rsidRPr="00EC43ED">
              <w:rPr>
                <w:rFonts w:ascii="Verdana" w:hAnsi="Verdana"/>
                <w:b/>
              </w:rPr>
              <w:t>Measure</w:t>
            </w:r>
          </w:p>
        </w:tc>
        <w:tc>
          <w:tcPr>
            <w:tcW w:w="1418" w:type="dxa"/>
            <w:vAlign w:val="center"/>
          </w:tcPr>
          <w:p w14:paraId="4E09179B" w14:textId="77777777" w:rsidR="00463FA1" w:rsidRPr="000E6026" w:rsidRDefault="00463FA1" w:rsidP="00463FA1">
            <w:pPr>
              <w:jc w:val="center"/>
              <w:rPr>
                <w:rFonts w:ascii="Verdana" w:hAnsi="Verdana"/>
                <w:b/>
              </w:rPr>
            </w:pPr>
            <w:r w:rsidRPr="000E6026">
              <w:rPr>
                <w:rFonts w:ascii="Verdana" w:hAnsi="Verdana"/>
                <w:b/>
              </w:rPr>
              <w:t>201</w:t>
            </w:r>
            <w:r>
              <w:rPr>
                <w:rFonts w:ascii="Verdana" w:hAnsi="Verdana"/>
                <w:b/>
              </w:rPr>
              <w:t>9-20</w:t>
            </w:r>
            <w:r w:rsidRPr="000E6026">
              <w:rPr>
                <w:rFonts w:ascii="Verdana" w:hAnsi="Verdana"/>
                <w:b/>
              </w:rPr>
              <w:t xml:space="preserve"> Target</w:t>
            </w:r>
          </w:p>
          <w:p w14:paraId="0D086BEF" w14:textId="77777777" w:rsidR="00463FA1" w:rsidRDefault="00463FA1" w:rsidP="00463FA1">
            <w:pPr>
              <w:jc w:val="center"/>
              <w:rPr>
                <w:rFonts w:ascii="Verdana" w:hAnsi="Verdana"/>
                <w:b/>
              </w:rPr>
            </w:pPr>
            <w:r w:rsidRPr="000E6026">
              <w:rPr>
                <w:rFonts w:ascii="Verdana" w:hAnsi="Verdana"/>
                <w:b/>
              </w:rPr>
              <w:t>%</w:t>
            </w:r>
          </w:p>
          <w:p w14:paraId="02C78EB7" w14:textId="2383A973" w:rsidR="004D3EBF" w:rsidRDefault="004D3EBF" w:rsidP="00463FA1">
            <w:pPr>
              <w:jc w:val="center"/>
              <w:rPr>
                <w:rFonts w:ascii="Verdana" w:hAnsi="Verdana"/>
                <w:b/>
              </w:rPr>
            </w:pPr>
          </w:p>
        </w:tc>
        <w:tc>
          <w:tcPr>
            <w:tcW w:w="1418" w:type="dxa"/>
            <w:vAlign w:val="center"/>
          </w:tcPr>
          <w:p w14:paraId="66B6543B" w14:textId="08EB1B8F" w:rsidR="00463FA1" w:rsidRPr="000E6026" w:rsidRDefault="00463FA1" w:rsidP="00463FA1">
            <w:pPr>
              <w:jc w:val="center"/>
              <w:rPr>
                <w:rFonts w:ascii="Verdana" w:hAnsi="Verdana"/>
                <w:b/>
              </w:rPr>
            </w:pPr>
            <w:r>
              <w:rPr>
                <w:rFonts w:ascii="Verdana" w:hAnsi="Verdana"/>
                <w:b/>
              </w:rPr>
              <w:t>2019-20</w:t>
            </w:r>
          </w:p>
          <w:p w14:paraId="7BCA4CCC" w14:textId="77777777" w:rsidR="00463FA1" w:rsidRPr="000E6026" w:rsidRDefault="00463FA1" w:rsidP="00463FA1">
            <w:pPr>
              <w:jc w:val="center"/>
              <w:rPr>
                <w:rFonts w:ascii="Verdana" w:hAnsi="Verdana"/>
                <w:b/>
              </w:rPr>
            </w:pPr>
            <w:r w:rsidRPr="000E6026">
              <w:rPr>
                <w:rFonts w:ascii="Verdana" w:hAnsi="Verdana"/>
                <w:b/>
              </w:rPr>
              <w:t>Outcome</w:t>
            </w:r>
          </w:p>
          <w:p w14:paraId="0B89E2AE" w14:textId="61E69FB3" w:rsidR="00463FA1" w:rsidRPr="000E6026" w:rsidRDefault="00463FA1" w:rsidP="00463FA1">
            <w:pPr>
              <w:jc w:val="center"/>
              <w:rPr>
                <w:rFonts w:ascii="Verdana" w:hAnsi="Verdana"/>
              </w:rPr>
            </w:pPr>
          </w:p>
        </w:tc>
        <w:tc>
          <w:tcPr>
            <w:tcW w:w="2268" w:type="dxa"/>
          </w:tcPr>
          <w:p w14:paraId="7E0B2C6C" w14:textId="7A3BD13E" w:rsidR="00463FA1" w:rsidRPr="000E6026" w:rsidRDefault="00463FA1" w:rsidP="00463FA1">
            <w:pPr>
              <w:jc w:val="center"/>
              <w:rPr>
                <w:rFonts w:ascii="Verdana" w:hAnsi="Verdana"/>
                <w:b/>
              </w:rPr>
            </w:pPr>
            <w:r>
              <w:rPr>
                <w:rFonts w:ascii="Verdana" w:hAnsi="Verdana"/>
                <w:b/>
              </w:rPr>
              <w:t>Comments</w:t>
            </w:r>
          </w:p>
        </w:tc>
      </w:tr>
      <w:tr w:rsidR="00463FA1" w14:paraId="08CC7ED3" w14:textId="77777777" w:rsidTr="00876574">
        <w:tc>
          <w:tcPr>
            <w:tcW w:w="562" w:type="dxa"/>
          </w:tcPr>
          <w:p w14:paraId="7B8D3230" w14:textId="77777777" w:rsidR="00463FA1" w:rsidRDefault="00463FA1" w:rsidP="00463FA1">
            <w:pPr>
              <w:rPr>
                <w:color w:val="FF0000"/>
              </w:rPr>
            </w:pPr>
          </w:p>
        </w:tc>
        <w:tc>
          <w:tcPr>
            <w:tcW w:w="1843" w:type="dxa"/>
          </w:tcPr>
          <w:p w14:paraId="72CB56EB" w14:textId="56617C10" w:rsidR="00463FA1" w:rsidRPr="00EC43ED" w:rsidRDefault="00463FA1" w:rsidP="00463FA1">
            <w:pPr>
              <w:rPr>
                <w:rFonts w:ascii="Verdana" w:hAnsi="Verdana"/>
              </w:rPr>
            </w:pPr>
            <w:r w:rsidRPr="00EC43ED">
              <w:rPr>
                <w:rFonts w:ascii="Verdana" w:hAnsi="Verdana"/>
              </w:rPr>
              <w:t>External progression</w:t>
            </w:r>
          </w:p>
        </w:tc>
        <w:tc>
          <w:tcPr>
            <w:tcW w:w="2126" w:type="dxa"/>
          </w:tcPr>
          <w:p w14:paraId="29017463" w14:textId="77777777" w:rsidR="00463FA1" w:rsidRPr="00EC43ED" w:rsidRDefault="00463FA1" w:rsidP="00463FA1">
            <w:pPr>
              <w:rPr>
                <w:rFonts w:ascii="Verdana" w:hAnsi="Verdana"/>
              </w:rPr>
            </w:pPr>
            <w:r w:rsidRPr="00EC43ED">
              <w:rPr>
                <w:rFonts w:ascii="Verdana" w:hAnsi="Verdana"/>
              </w:rPr>
              <w:t>% of applicants progressing successfully to their first choice of HE institution</w:t>
            </w:r>
          </w:p>
          <w:p w14:paraId="7DD25C65" w14:textId="52CD4CA0" w:rsidR="00463FA1" w:rsidRPr="00EC43ED" w:rsidRDefault="00463FA1" w:rsidP="00463FA1">
            <w:pPr>
              <w:rPr>
                <w:rFonts w:ascii="Verdana" w:hAnsi="Verdana"/>
              </w:rPr>
            </w:pPr>
          </w:p>
        </w:tc>
        <w:tc>
          <w:tcPr>
            <w:tcW w:w="1418" w:type="dxa"/>
          </w:tcPr>
          <w:p w14:paraId="45E5B02C" w14:textId="7491CA00" w:rsidR="00463FA1" w:rsidRDefault="00463FA1" w:rsidP="00463FA1">
            <w:pPr>
              <w:jc w:val="center"/>
              <w:rPr>
                <w:rFonts w:ascii="Verdana" w:hAnsi="Verdana"/>
              </w:rPr>
            </w:pPr>
            <w:r>
              <w:rPr>
                <w:rFonts w:ascii="Verdana" w:hAnsi="Verdana"/>
              </w:rPr>
              <w:t>70%</w:t>
            </w:r>
          </w:p>
        </w:tc>
        <w:tc>
          <w:tcPr>
            <w:tcW w:w="1418" w:type="dxa"/>
          </w:tcPr>
          <w:p w14:paraId="0A2F859B" w14:textId="703FC335" w:rsidR="00463FA1" w:rsidRDefault="00463FA1" w:rsidP="00463FA1">
            <w:pPr>
              <w:jc w:val="center"/>
              <w:rPr>
                <w:rFonts w:ascii="Verdana" w:hAnsi="Verdana"/>
              </w:rPr>
            </w:pPr>
            <w:r>
              <w:rPr>
                <w:rFonts w:ascii="Verdana" w:hAnsi="Verdana"/>
              </w:rPr>
              <w:t>n/a</w:t>
            </w:r>
          </w:p>
        </w:tc>
        <w:tc>
          <w:tcPr>
            <w:tcW w:w="2268" w:type="dxa"/>
          </w:tcPr>
          <w:p w14:paraId="1D6D651B" w14:textId="6B48D8FD" w:rsidR="00463FA1" w:rsidRDefault="00463FA1" w:rsidP="00463FA1">
            <w:pPr>
              <w:jc w:val="center"/>
              <w:rPr>
                <w:rFonts w:ascii="Verdana" w:hAnsi="Verdana"/>
              </w:rPr>
            </w:pPr>
            <w:r>
              <w:rPr>
                <w:rFonts w:ascii="Verdana" w:hAnsi="Verdana"/>
              </w:rPr>
              <w:t>to be reported in December</w:t>
            </w:r>
          </w:p>
        </w:tc>
      </w:tr>
      <w:tr w:rsidR="00463FA1" w14:paraId="3890B768" w14:textId="77777777" w:rsidTr="00876574">
        <w:tc>
          <w:tcPr>
            <w:tcW w:w="562" w:type="dxa"/>
          </w:tcPr>
          <w:p w14:paraId="2FFA1757" w14:textId="77777777" w:rsidR="00463FA1" w:rsidRDefault="00463FA1" w:rsidP="00463FA1">
            <w:pPr>
              <w:rPr>
                <w:color w:val="FF0000"/>
              </w:rPr>
            </w:pPr>
          </w:p>
        </w:tc>
        <w:tc>
          <w:tcPr>
            <w:tcW w:w="1843" w:type="dxa"/>
          </w:tcPr>
          <w:p w14:paraId="285E23EC" w14:textId="77777777" w:rsidR="00463FA1" w:rsidRPr="000E6026" w:rsidRDefault="00463FA1" w:rsidP="00463FA1">
            <w:pPr>
              <w:rPr>
                <w:rFonts w:ascii="Verdana" w:hAnsi="Verdana"/>
              </w:rPr>
            </w:pPr>
          </w:p>
        </w:tc>
        <w:tc>
          <w:tcPr>
            <w:tcW w:w="2126" w:type="dxa"/>
          </w:tcPr>
          <w:p w14:paraId="2E02A467" w14:textId="77777777" w:rsidR="00463FA1" w:rsidRDefault="00463FA1" w:rsidP="00463FA1">
            <w:pPr>
              <w:rPr>
                <w:rFonts w:ascii="Verdana" w:hAnsi="Verdana"/>
              </w:rPr>
            </w:pPr>
            <w:r w:rsidRPr="00EC43ED">
              <w:rPr>
                <w:rFonts w:ascii="Verdana" w:hAnsi="Verdana"/>
              </w:rPr>
              <w:t>% of students progressing to employment, apprenticeship and HE in a related sector</w:t>
            </w:r>
          </w:p>
          <w:p w14:paraId="3E94DADE" w14:textId="42FE39F8" w:rsidR="00463FA1" w:rsidRPr="00EC43ED" w:rsidRDefault="00463FA1" w:rsidP="00463FA1">
            <w:pPr>
              <w:rPr>
                <w:rFonts w:ascii="Verdana" w:hAnsi="Verdana"/>
              </w:rPr>
            </w:pPr>
          </w:p>
        </w:tc>
        <w:tc>
          <w:tcPr>
            <w:tcW w:w="1418" w:type="dxa"/>
          </w:tcPr>
          <w:p w14:paraId="5F7F8F52" w14:textId="17FF6A39" w:rsidR="00463FA1" w:rsidRDefault="00463FA1" w:rsidP="00463FA1">
            <w:pPr>
              <w:jc w:val="center"/>
              <w:rPr>
                <w:rFonts w:ascii="Verdana" w:hAnsi="Verdana"/>
              </w:rPr>
            </w:pPr>
            <w:r>
              <w:rPr>
                <w:rFonts w:ascii="Verdana" w:hAnsi="Verdana"/>
              </w:rPr>
              <w:t>90%</w:t>
            </w:r>
          </w:p>
        </w:tc>
        <w:tc>
          <w:tcPr>
            <w:tcW w:w="1418" w:type="dxa"/>
          </w:tcPr>
          <w:p w14:paraId="6F9D5116" w14:textId="156E334D" w:rsidR="00463FA1" w:rsidRDefault="00463FA1" w:rsidP="00463FA1">
            <w:pPr>
              <w:jc w:val="center"/>
              <w:rPr>
                <w:rFonts w:ascii="Verdana" w:hAnsi="Verdana"/>
              </w:rPr>
            </w:pPr>
            <w:r>
              <w:rPr>
                <w:rFonts w:ascii="Verdana" w:hAnsi="Verdana"/>
              </w:rPr>
              <w:t>n/a</w:t>
            </w:r>
          </w:p>
        </w:tc>
        <w:tc>
          <w:tcPr>
            <w:tcW w:w="2268" w:type="dxa"/>
          </w:tcPr>
          <w:p w14:paraId="0D3B574C" w14:textId="158A6667" w:rsidR="00463FA1" w:rsidRDefault="00463FA1" w:rsidP="00463FA1">
            <w:pPr>
              <w:jc w:val="center"/>
              <w:rPr>
                <w:rFonts w:ascii="Verdana" w:hAnsi="Verdana"/>
              </w:rPr>
            </w:pPr>
            <w:r>
              <w:rPr>
                <w:rFonts w:ascii="Verdana" w:hAnsi="Verdana"/>
              </w:rPr>
              <w:t xml:space="preserve">to be reported in December (to date 86% -university only) </w:t>
            </w:r>
          </w:p>
        </w:tc>
      </w:tr>
      <w:tr w:rsidR="00463FA1" w14:paraId="00BEF33B" w14:textId="77777777" w:rsidTr="00876574">
        <w:tc>
          <w:tcPr>
            <w:tcW w:w="562" w:type="dxa"/>
          </w:tcPr>
          <w:p w14:paraId="4310CA6E" w14:textId="77777777" w:rsidR="00463FA1" w:rsidRDefault="00463FA1" w:rsidP="00463FA1">
            <w:pPr>
              <w:rPr>
                <w:color w:val="FF0000"/>
              </w:rPr>
            </w:pPr>
          </w:p>
        </w:tc>
        <w:tc>
          <w:tcPr>
            <w:tcW w:w="1843" w:type="dxa"/>
          </w:tcPr>
          <w:p w14:paraId="7632AA03" w14:textId="77777777" w:rsidR="00463FA1" w:rsidRPr="000E6026" w:rsidRDefault="00463FA1" w:rsidP="00463FA1">
            <w:pPr>
              <w:rPr>
                <w:rFonts w:ascii="Verdana" w:hAnsi="Verdana"/>
              </w:rPr>
            </w:pPr>
          </w:p>
        </w:tc>
        <w:tc>
          <w:tcPr>
            <w:tcW w:w="2126" w:type="dxa"/>
          </w:tcPr>
          <w:p w14:paraId="10B11CF2" w14:textId="58C3A8D4" w:rsidR="00463FA1" w:rsidRPr="00EC43ED" w:rsidRDefault="00463FA1" w:rsidP="00463FA1">
            <w:pPr>
              <w:rPr>
                <w:rFonts w:ascii="Verdana" w:hAnsi="Verdana"/>
              </w:rPr>
            </w:pPr>
            <w:r w:rsidRPr="00EC43ED">
              <w:rPr>
                <w:rFonts w:ascii="Verdana" w:hAnsi="Verdana"/>
              </w:rPr>
              <w:t>% of students progressing to Russell group out of those who progressed to HE</w:t>
            </w:r>
          </w:p>
        </w:tc>
        <w:tc>
          <w:tcPr>
            <w:tcW w:w="1418" w:type="dxa"/>
          </w:tcPr>
          <w:p w14:paraId="353B5EDE" w14:textId="3C9AC8E0" w:rsidR="00463FA1" w:rsidRDefault="00463FA1" w:rsidP="00463FA1">
            <w:pPr>
              <w:jc w:val="center"/>
              <w:rPr>
                <w:rFonts w:ascii="Verdana" w:hAnsi="Verdana"/>
              </w:rPr>
            </w:pPr>
            <w:r>
              <w:rPr>
                <w:rFonts w:ascii="Verdana" w:hAnsi="Verdana"/>
              </w:rPr>
              <w:t>15%</w:t>
            </w:r>
          </w:p>
        </w:tc>
        <w:tc>
          <w:tcPr>
            <w:tcW w:w="1418" w:type="dxa"/>
          </w:tcPr>
          <w:p w14:paraId="75B01A19" w14:textId="1954E2C3" w:rsidR="00463FA1" w:rsidRPr="00EC43ED" w:rsidRDefault="00463FA1" w:rsidP="00463FA1">
            <w:pPr>
              <w:jc w:val="center"/>
              <w:rPr>
                <w:rFonts w:ascii="Verdana" w:hAnsi="Verdana"/>
              </w:rPr>
            </w:pPr>
            <w:r>
              <w:rPr>
                <w:rFonts w:ascii="Verdana" w:hAnsi="Verdana"/>
              </w:rPr>
              <w:t>n/a</w:t>
            </w:r>
          </w:p>
        </w:tc>
        <w:tc>
          <w:tcPr>
            <w:tcW w:w="2268" w:type="dxa"/>
          </w:tcPr>
          <w:p w14:paraId="38C1E019" w14:textId="1B0B24AB" w:rsidR="00463FA1" w:rsidRDefault="00463FA1" w:rsidP="00463FA1">
            <w:pPr>
              <w:jc w:val="center"/>
              <w:rPr>
                <w:rFonts w:ascii="Verdana" w:hAnsi="Verdana"/>
              </w:rPr>
            </w:pPr>
            <w:r>
              <w:rPr>
                <w:rFonts w:ascii="Verdana" w:hAnsi="Verdana"/>
              </w:rPr>
              <w:t>to be reported in December (to date 9%)</w:t>
            </w:r>
          </w:p>
        </w:tc>
      </w:tr>
      <w:tr w:rsidR="004D3EBF" w14:paraId="70C1B8D9" w14:textId="3CF6C156" w:rsidTr="00876574">
        <w:tc>
          <w:tcPr>
            <w:tcW w:w="562" w:type="dxa"/>
          </w:tcPr>
          <w:p w14:paraId="3A67F403" w14:textId="77777777" w:rsidR="004D3EBF" w:rsidRDefault="004D3EBF" w:rsidP="004D3EBF">
            <w:pPr>
              <w:rPr>
                <w:color w:val="FF0000"/>
              </w:rPr>
            </w:pPr>
          </w:p>
        </w:tc>
        <w:tc>
          <w:tcPr>
            <w:tcW w:w="1843" w:type="dxa"/>
          </w:tcPr>
          <w:p w14:paraId="4108DDE6" w14:textId="6A82A5E9" w:rsidR="004D3EBF" w:rsidRPr="000E6026" w:rsidRDefault="004D3EBF" w:rsidP="004D3EBF">
            <w:pPr>
              <w:rPr>
                <w:rFonts w:ascii="Verdana" w:hAnsi="Verdana"/>
                <w:color w:val="FF0000"/>
              </w:rPr>
            </w:pPr>
            <w:r w:rsidRPr="000E6026">
              <w:rPr>
                <w:rFonts w:ascii="Verdana" w:hAnsi="Verdana"/>
              </w:rPr>
              <w:t>Work experience</w:t>
            </w:r>
          </w:p>
        </w:tc>
        <w:tc>
          <w:tcPr>
            <w:tcW w:w="2126" w:type="dxa"/>
          </w:tcPr>
          <w:p w14:paraId="6CABB9E0" w14:textId="77777777" w:rsidR="004D3EBF" w:rsidRDefault="004D3EBF" w:rsidP="004D3EBF">
            <w:pPr>
              <w:rPr>
                <w:rFonts w:ascii="Verdana" w:hAnsi="Verdana"/>
              </w:rPr>
            </w:pPr>
            <w:r w:rsidRPr="00EC43ED">
              <w:rPr>
                <w:rFonts w:ascii="Verdana" w:hAnsi="Verdana"/>
              </w:rPr>
              <w:t>% of L2 &amp; L3 Voc. students undertaking work experience</w:t>
            </w:r>
          </w:p>
          <w:p w14:paraId="0C35A3FD" w14:textId="224C858A" w:rsidR="004D3EBF" w:rsidRPr="00EC43ED" w:rsidRDefault="004D3EBF" w:rsidP="004D3EBF">
            <w:pPr>
              <w:rPr>
                <w:rFonts w:ascii="Verdana" w:hAnsi="Verdana"/>
                <w:color w:val="FF0000"/>
              </w:rPr>
            </w:pPr>
            <w:r w:rsidRPr="00EC43ED">
              <w:rPr>
                <w:rFonts w:ascii="Verdana" w:hAnsi="Verdana"/>
                <w:color w:val="FF0000"/>
              </w:rPr>
              <w:t xml:space="preserve"> </w:t>
            </w:r>
          </w:p>
        </w:tc>
        <w:tc>
          <w:tcPr>
            <w:tcW w:w="1418" w:type="dxa"/>
          </w:tcPr>
          <w:p w14:paraId="549920D8" w14:textId="19190DBF" w:rsidR="004D3EBF" w:rsidRDefault="004D3EBF" w:rsidP="004D3EBF">
            <w:pPr>
              <w:jc w:val="center"/>
              <w:rPr>
                <w:rFonts w:ascii="Verdana" w:hAnsi="Verdana"/>
              </w:rPr>
            </w:pPr>
            <w:r w:rsidRPr="00734AAC">
              <w:rPr>
                <w:rFonts w:ascii="Verdana" w:hAnsi="Verdana"/>
              </w:rPr>
              <w:t>80%</w:t>
            </w:r>
          </w:p>
        </w:tc>
        <w:tc>
          <w:tcPr>
            <w:tcW w:w="1418" w:type="dxa"/>
          </w:tcPr>
          <w:p w14:paraId="135D4980" w14:textId="17E86BA1" w:rsidR="004D3EBF" w:rsidRDefault="004D3EBF" w:rsidP="004D3EBF">
            <w:pPr>
              <w:jc w:val="center"/>
              <w:rPr>
                <w:rFonts w:ascii="Verdana" w:hAnsi="Verdana"/>
              </w:rPr>
            </w:pPr>
            <w:r>
              <w:rPr>
                <w:rFonts w:ascii="Verdana" w:hAnsi="Verdana"/>
              </w:rPr>
              <w:t>57</w:t>
            </w:r>
            <w:r w:rsidRPr="000E6026">
              <w:rPr>
                <w:rFonts w:ascii="Verdana" w:hAnsi="Verdana"/>
              </w:rPr>
              <w:t>%</w:t>
            </w:r>
            <w:r>
              <w:rPr>
                <w:rFonts w:ascii="Verdana" w:hAnsi="Verdana"/>
              </w:rPr>
              <w:t xml:space="preserve">  </w:t>
            </w:r>
          </w:p>
          <w:p w14:paraId="4B5AC2C2" w14:textId="25CC2501" w:rsidR="004D3EBF" w:rsidRDefault="004D3EBF" w:rsidP="004D3EBF">
            <w:pPr>
              <w:jc w:val="center"/>
              <w:rPr>
                <w:rFonts w:ascii="Verdana" w:hAnsi="Verdana"/>
              </w:rPr>
            </w:pPr>
          </w:p>
          <w:p w14:paraId="00E0D5D0" w14:textId="55CD985B" w:rsidR="004D3EBF" w:rsidRPr="000E6026" w:rsidRDefault="004D3EBF" w:rsidP="004D3EBF">
            <w:pPr>
              <w:jc w:val="center"/>
              <w:rPr>
                <w:rFonts w:ascii="Verdana" w:hAnsi="Verdana"/>
                <w:color w:val="FF0000"/>
              </w:rPr>
            </w:pPr>
          </w:p>
        </w:tc>
        <w:tc>
          <w:tcPr>
            <w:tcW w:w="2268" w:type="dxa"/>
          </w:tcPr>
          <w:p w14:paraId="6163CAF2" w14:textId="3BF1DD57" w:rsidR="004D3EBF" w:rsidRPr="00734AAC" w:rsidRDefault="004D3EBF" w:rsidP="004D3EBF">
            <w:pPr>
              <w:jc w:val="center"/>
              <w:rPr>
                <w:rFonts w:ascii="Verdana" w:hAnsi="Verdana"/>
              </w:rPr>
            </w:pPr>
          </w:p>
        </w:tc>
      </w:tr>
      <w:tr w:rsidR="004D3EBF" w14:paraId="0FD097B4" w14:textId="60989D0D" w:rsidTr="00876574">
        <w:tc>
          <w:tcPr>
            <w:tcW w:w="562" w:type="dxa"/>
          </w:tcPr>
          <w:p w14:paraId="52DD50BF" w14:textId="77777777" w:rsidR="004D3EBF" w:rsidRDefault="004D3EBF" w:rsidP="004D3EBF">
            <w:pPr>
              <w:rPr>
                <w:color w:val="FF0000"/>
              </w:rPr>
            </w:pPr>
          </w:p>
        </w:tc>
        <w:tc>
          <w:tcPr>
            <w:tcW w:w="1843" w:type="dxa"/>
          </w:tcPr>
          <w:p w14:paraId="0F6F893B" w14:textId="4158AB90" w:rsidR="004D3EBF" w:rsidRPr="00ED573D" w:rsidRDefault="004D3EBF" w:rsidP="004D3EBF">
            <w:pPr>
              <w:rPr>
                <w:rFonts w:ascii="Verdana" w:hAnsi="Verdana"/>
                <w:color w:val="FF0000"/>
              </w:rPr>
            </w:pPr>
            <w:r w:rsidRPr="00ED573D">
              <w:rPr>
                <w:rFonts w:ascii="Verdana" w:hAnsi="Verdana"/>
              </w:rPr>
              <w:t xml:space="preserve">Student feedback </w:t>
            </w:r>
          </w:p>
        </w:tc>
        <w:tc>
          <w:tcPr>
            <w:tcW w:w="2126" w:type="dxa"/>
          </w:tcPr>
          <w:p w14:paraId="1CAF462E" w14:textId="77777777" w:rsidR="004D3EBF" w:rsidRDefault="004D3EBF" w:rsidP="004D3EBF">
            <w:pPr>
              <w:rPr>
                <w:rFonts w:ascii="Verdana" w:hAnsi="Verdana"/>
              </w:rPr>
            </w:pPr>
            <w:r w:rsidRPr="00EC43ED">
              <w:rPr>
                <w:rFonts w:ascii="Verdana" w:hAnsi="Verdana"/>
              </w:rPr>
              <w:t>% of students who would recommend SGMC to a friend (QDP)</w:t>
            </w:r>
          </w:p>
          <w:p w14:paraId="44F047BE" w14:textId="249FACA7" w:rsidR="004D3EBF" w:rsidRPr="00EC43ED" w:rsidRDefault="004D3EBF" w:rsidP="004D3EBF">
            <w:pPr>
              <w:rPr>
                <w:rFonts w:ascii="Verdana" w:hAnsi="Verdana"/>
                <w:color w:val="FF0000"/>
              </w:rPr>
            </w:pPr>
          </w:p>
        </w:tc>
        <w:tc>
          <w:tcPr>
            <w:tcW w:w="1418" w:type="dxa"/>
          </w:tcPr>
          <w:p w14:paraId="7A2C856B" w14:textId="71312017" w:rsidR="004D3EBF" w:rsidRPr="00ED573D" w:rsidRDefault="004D3EBF" w:rsidP="004D3EBF">
            <w:pPr>
              <w:jc w:val="center"/>
              <w:rPr>
                <w:rFonts w:ascii="Verdana" w:hAnsi="Verdana"/>
              </w:rPr>
            </w:pPr>
            <w:r w:rsidRPr="00ED573D">
              <w:rPr>
                <w:rFonts w:ascii="Verdana" w:hAnsi="Verdana"/>
              </w:rPr>
              <w:t>85%</w:t>
            </w:r>
          </w:p>
        </w:tc>
        <w:tc>
          <w:tcPr>
            <w:tcW w:w="1418" w:type="dxa"/>
          </w:tcPr>
          <w:p w14:paraId="50FD1D6A" w14:textId="66303DB6" w:rsidR="004D3EBF" w:rsidRPr="00ED573D" w:rsidRDefault="004D3EBF" w:rsidP="004D3EBF">
            <w:pPr>
              <w:jc w:val="center"/>
              <w:rPr>
                <w:rFonts w:ascii="Verdana" w:hAnsi="Verdana"/>
                <w:color w:val="FF0000"/>
              </w:rPr>
            </w:pPr>
            <w:r>
              <w:rPr>
                <w:rFonts w:ascii="Verdana" w:hAnsi="Verdana"/>
              </w:rPr>
              <w:t>93</w:t>
            </w:r>
            <w:r w:rsidRPr="00ED573D">
              <w:rPr>
                <w:rFonts w:ascii="Verdana" w:hAnsi="Verdana"/>
              </w:rPr>
              <w:t>%</w:t>
            </w:r>
          </w:p>
        </w:tc>
        <w:tc>
          <w:tcPr>
            <w:tcW w:w="2268" w:type="dxa"/>
          </w:tcPr>
          <w:p w14:paraId="59CDDC4E" w14:textId="4C80BF99" w:rsidR="004D3EBF" w:rsidRPr="00ED573D" w:rsidRDefault="004D3EBF" w:rsidP="004D3EBF">
            <w:pPr>
              <w:jc w:val="center"/>
              <w:rPr>
                <w:rFonts w:ascii="Verdana" w:hAnsi="Verdana"/>
              </w:rPr>
            </w:pPr>
            <w:r>
              <w:rPr>
                <w:rFonts w:ascii="Verdana" w:hAnsi="Verdana"/>
              </w:rPr>
              <w:t>Source: June 2020 survey</w:t>
            </w:r>
          </w:p>
        </w:tc>
      </w:tr>
      <w:tr w:rsidR="004D3EBF" w14:paraId="1463F58B" w14:textId="548F19A9" w:rsidTr="00876574">
        <w:tc>
          <w:tcPr>
            <w:tcW w:w="562" w:type="dxa"/>
          </w:tcPr>
          <w:p w14:paraId="50588EE9" w14:textId="77777777" w:rsidR="004D3EBF" w:rsidRDefault="004D3EBF" w:rsidP="004D3EBF">
            <w:pPr>
              <w:rPr>
                <w:color w:val="FF0000"/>
              </w:rPr>
            </w:pPr>
          </w:p>
        </w:tc>
        <w:tc>
          <w:tcPr>
            <w:tcW w:w="1843" w:type="dxa"/>
          </w:tcPr>
          <w:p w14:paraId="706F5529" w14:textId="1AA5D3FA" w:rsidR="004D3EBF" w:rsidRPr="00ED573D" w:rsidRDefault="004D3EBF" w:rsidP="004D3EBF">
            <w:pPr>
              <w:rPr>
                <w:rFonts w:ascii="Verdana" w:hAnsi="Verdana"/>
                <w:color w:val="FF0000"/>
              </w:rPr>
            </w:pPr>
          </w:p>
        </w:tc>
        <w:tc>
          <w:tcPr>
            <w:tcW w:w="2126" w:type="dxa"/>
          </w:tcPr>
          <w:p w14:paraId="3F0D22E0" w14:textId="75DB645E" w:rsidR="004D3EBF" w:rsidRPr="00ED573D" w:rsidRDefault="004D3EBF" w:rsidP="004D3EBF">
            <w:pPr>
              <w:rPr>
                <w:rFonts w:ascii="Verdana" w:hAnsi="Verdana"/>
              </w:rPr>
            </w:pPr>
            <w:r w:rsidRPr="00ED573D">
              <w:rPr>
                <w:rFonts w:ascii="Verdana" w:hAnsi="Verdana"/>
              </w:rPr>
              <w:t xml:space="preserve">% of students who feel safe at </w:t>
            </w:r>
            <w:r>
              <w:rPr>
                <w:rFonts w:ascii="Verdana" w:hAnsi="Verdana"/>
              </w:rPr>
              <w:t>C</w:t>
            </w:r>
            <w:r w:rsidRPr="00ED573D">
              <w:rPr>
                <w:rFonts w:ascii="Verdana" w:hAnsi="Verdana"/>
              </w:rPr>
              <w:t>ollege</w:t>
            </w:r>
          </w:p>
          <w:p w14:paraId="7A2301E6" w14:textId="77777777" w:rsidR="004D3EBF" w:rsidRPr="00ED573D" w:rsidRDefault="004D3EBF" w:rsidP="004D3EBF">
            <w:pPr>
              <w:rPr>
                <w:rFonts w:ascii="Verdana" w:hAnsi="Verdana"/>
                <w:color w:val="FF0000"/>
              </w:rPr>
            </w:pPr>
          </w:p>
        </w:tc>
        <w:tc>
          <w:tcPr>
            <w:tcW w:w="1418" w:type="dxa"/>
          </w:tcPr>
          <w:p w14:paraId="6D3618A9" w14:textId="53302282" w:rsidR="004D3EBF" w:rsidRPr="00ED573D" w:rsidRDefault="004D3EBF" w:rsidP="004D3EBF">
            <w:pPr>
              <w:jc w:val="center"/>
              <w:rPr>
                <w:rFonts w:ascii="Verdana" w:hAnsi="Verdana"/>
              </w:rPr>
            </w:pPr>
            <w:r>
              <w:rPr>
                <w:rFonts w:ascii="Verdana" w:hAnsi="Verdana"/>
              </w:rPr>
              <w:t>95</w:t>
            </w:r>
            <w:r w:rsidRPr="00ED573D">
              <w:rPr>
                <w:rFonts w:ascii="Verdana" w:hAnsi="Verdana"/>
              </w:rPr>
              <w:t>%</w:t>
            </w:r>
          </w:p>
        </w:tc>
        <w:tc>
          <w:tcPr>
            <w:tcW w:w="1418" w:type="dxa"/>
          </w:tcPr>
          <w:p w14:paraId="2C0CC613" w14:textId="4996FCC5" w:rsidR="004D3EBF" w:rsidRPr="00ED573D" w:rsidRDefault="004D3EBF" w:rsidP="004D3EBF">
            <w:pPr>
              <w:jc w:val="center"/>
              <w:rPr>
                <w:rFonts w:ascii="Verdana" w:hAnsi="Verdana"/>
                <w:color w:val="FF0000"/>
              </w:rPr>
            </w:pPr>
            <w:r>
              <w:rPr>
                <w:rFonts w:ascii="Verdana" w:hAnsi="Verdana"/>
              </w:rPr>
              <w:t>96</w:t>
            </w:r>
            <w:r w:rsidRPr="00ED573D">
              <w:rPr>
                <w:rFonts w:ascii="Verdana" w:hAnsi="Verdana"/>
              </w:rPr>
              <w:t>%</w:t>
            </w:r>
          </w:p>
        </w:tc>
        <w:tc>
          <w:tcPr>
            <w:tcW w:w="2268" w:type="dxa"/>
          </w:tcPr>
          <w:p w14:paraId="10D85079" w14:textId="418B8AB6" w:rsidR="004D3EBF" w:rsidRPr="00ED573D" w:rsidRDefault="004D3EBF" w:rsidP="004D3EBF">
            <w:pPr>
              <w:jc w:val="center"/>
              <w:rPr>
                <w:rFonts w:ascii="Verdana" w:hAnsi="Verdana"/>
              </w:rPr>
            </w:pPr>
            <w:r>
              <w:rPr>
                <w:rFonts w:ascii="Verdana" w:hAnsi="Verdana"/>
              </w:rPr>
              <w:t>Source: June 2020 survey</w:t>
            </w:r>
            <w:r w:rsidRPr="00ED573D">
              <w:rPr>
                <w:rFonts w:ascii="Verdana" w:hAnsi="Verdana"/>
              </w:rPr>
              <w:t xml:space="preserve"> </w:t>
            </w:r>
          </w:p>
        </w:tc>
      </w:tr>
      <w:tr w:rsidR="004D3EBF" w14:paraId="4326B39F" w14:textId="783CED4B" w:rsidTr="00876574">
        <w:tc>
          <w:tcPr>
            <w:tcW w:w="562" w:type="dxa"/>
          </w:tcPr>
          <w:p w14:paraId="59CF8693" w14:textId="77777777" w:rsidR="004D3EBF" w:rsidRDefault="004D3EBF" w:rsidP="004D3EBF">
            <w:pPr>
              <w:rPr>
                <w:color w:val="FF0000"/>
              </w:rPr>
            </w:pPr>
          </w:p>
        </w:tc>
        <w:tc>
          <w:tcPr>
            <w:tcW w:w="1843" w:type="dxa"/>
          </w:tcPr>
          <w:p w14:paraId="0A69FAB9" w14:textId="77777777" w:rsidR="004D3EBF" w:rsidRPr="000E6026" w:rsidRDefault="004D3EBF" w:rsidP="004D3EBF">
            <w:pPr>
              <w:rPr>
                <w:rFonts w:ascii="Verdana" w:hAnsi="Verdana"/>
              </w:rPr>
            </w:pPr>
            <w:r w:rsidRPr="000E6026">
              <w:rPr>
                <w:rFonts w:ascii="Verdana" w:hAnsi="Verdana"/>
              </w:rPr>
              <w:t xml:space="preserve">Recruitment </w:t>
            </w:r>
          </w:p>
          <w:p w14:paraId="1EC44C2C" w14:textId="77777777" w:rsidR="004D3EBF" w:rsidRPr="000E6026" w:rsidRDefault="004D3EBF" w:rsidP="004D3EBF">
            <w:pPr>
              <w:rPr>
                <w:rFonts w:ascii="Verdana" w:hAnsi="Verdana"/>
              </w:rPr>
            </w:pPr>
          </w:p>
          <w:p w14:paraId="096A8E45" w14:textId="77777777" w:rsidR="004D3EBF" w:rsidRPr="000E6026" w:rsidRDefault="004D3EBF" w:rsidP="004D3EBF">
            <w:pPr>
              <w:rPr>
                <w:rFonts w:ascii="Verdana" w:hAnsi="Verdana"/>
                <w:color w:val="FF0000"/>
              </w:rPr>
            </w:pPr>
          </w:p>
        </w:tc>
        <w:tc>
          <w:tcPr>
            <w:tcW w:w="2126" w:type="dxa"/>
          </w:tcPr>
          <w:p w14:paraId="7DCCFD54" w14:textId="77777777" w:rsidR="004D3EBF" w:rsidRPr="00463FA1" w:rsidRDefault="004D3EBF" w:rsidP="004D3EBF">
            <w:pPr>
              <w:rPr>
                <w:rFonts w:ascii="Verdana" w:hAnsi="Verdana"/>
              </w:rPr>
            </w:pPr>
            <w:r w:rsidRPr="00463FA1">
              <w:rPr>
                <w:rFonts w:ascii="Verdana" w:hAnsi="Verdana"/>
              </w:rPr>
              <w:t xml:space="preserve">No. of EFA funded learners enrolled </w:t>
            </w:r>
          </w:p>
          <w:p w14:paraId="348D2FB4" w14:textId="0F6B7718" w:rsidR="004D3EBF" w:rsidRDefault="004D3EBF" w:rsidP="004D3EBF">
            <w:pPr>
              <w:rPr>
                <w:rFonts w:ascii="Verdana" w:hAnsi="Verdana"/>
                <w:color w:val="FF0000"/>
              </w:rPr>
            </w:pPr>
            <w:r w:rsidRPr="00463FA1">
              <w:rPr>
                <w:rFonts w:ascii="Verdana" w:hAnsi="Verdana"/>
              </w:rPr>
              <w:t xml:space="preserve">at census dates </w:t>
            </w:r>
            <w:r>
              <w:rPr>
                <w:rFonts w:ascii="Verdana" w:hAnsi="Verdana"/>
              </w:rPr>
              <w:t>(</w:t>
            </w:r>
            <w:r w:rsidRPr="00463FA1">
              <w:rPr>
                <w:rFonts w:ascii="Verdana" w:hAnsi="Verdana"/>
              </w:rPr>
              <w:t>i.e. funding target</w:t>
            </w:r>
            <w:r>
              <w:rPr>
                <w:rFonts w:ascii="Verdana" w:hAnsi="Verdana"/>
              </w:rPr>
              <w:t>)</w:t>
            </w:r>
            <w:r w:rsidRPr="00ED573D">
              <w:rPr>
                <w:rFonts w:ascii="Verdana" w:hAnsi="Verdana"/>
                <w:color w:val="FF0000"/>
              </w:rPr>
              <w:t xml:space="preserve"> </w:t>
            </w:r>
          </w:p>
          <w:p w14:paraId="79764368" w14:textId="77777777" w:rsidR="004D3EBF" w:rsidRDefault="004D3EBF" w:rsidP="004D3EBF">
            <w:pPr>
              <w:rPr>
                <w:rFonts w:ascii="Verdana" w:hAnsi="Verdana"/>
                <w:color w:val="FF0000"/>
              </w:rPr>
            </w:pPr>
          </w:p>
          <w:p w14:paraId="5A07B3B1" w14:textId="3F28E59C" w:rsidR="004D3EBF" w:rsidRDefault="004D3EBF" w:rsidP="004D3EBF">
            <w:pPr>
              <w:rPr>
                <w:rFonts w:ascii="Verdana" w:hAnsi="Verdana"/>
                <w:color w:val="FF0000"/>
              </w:rPr>
            </w:pPr>
          </w:p>
          <w:p w14:paraId="1EFD6A3D" w14:textId="77777777" w:rsidR="00876574" w:rsidRDefault="00876574" w:rsidP="004D3EBF">
            <w:pPr>
              <w:rPr>
                <w:rFonts w:ascii="Verdana" w:hAnsi="Verdana"/>
                <w:color w:val="FF0000"/>
              </w:rPr>
            </w:pPr>
          </w:p>
          <w:p w14:paraId="57E0B0E0" w14:textId="4904D90D" w:rsidR="004D3EBF" w:rsidRPr="00ED573D" w:rsidRDefault="004D3EBF" w:rsidP="004D3EBF">
            <w:pPr>
              <w:rPr>
                <w:rFonts w:ascii="Verdana" w:hAnsi="Verdana"/>
                <w:color w:val="FF0000"/>
              </w:rPr>
            </w:pPr>
          </w:p>
        </w:tc>
        <w:tc>
          <w:tcPr>
            <w:tcW w:w="1418" w:type="dxa"/>
          </w:tcPr>
          <w:p w14:paraId="185819F6" w14:textId="643FB4DF" w:rsidR="004D3EBF" w:rsidRPr="00ED573D" w:rsidRDefault="004D3EBF" w:rsidP="004D3EBF">
            <w:pPr>
              <w:jc w:val="center"/>
              <w:rPr>
                <w:rFonts w:ascii="Verdana" w:hAnsi="Verdana"/>
              </w:rPr>
            </w:pPr>
            <w:r w:rsidRPr="00ED573D">
              <w:rPr>
                <w:rFonts w:ascii="Verdana" w:hAnsi="Verdana"/>
              </w:rPr>
              <w:t>1820</w:t>
            </w:r>
          </w:p>
        </w:tc>
        <w:tc>
          <w:tcPr>
            <w:tcW w:w="1418" w:type="dxa"/>
          </w:tcPr>
          <w:p w14:paraId="61EE69F9" w14:textId="7E15ECEC" w:rsidR="004D3EBF" w:rsidRPr="00ED573D" w:rsidRDefault="004D3EBF" w:rsidP="004D3EBF">
            <w:pPr>
              <w:jc w:val="center"/>
              <w:rPr>
                <w:rFonts w:ascii="Verdana" w:hAnsi="Verdana"/>
                <w:color w:val="FF0000"/>
              </w:rPr>
            </w:pPr>
            <w:r>
              <w:rPr>
                <w:rFonts w:ascii="Verdana" w:hAnsi="Verdana"/>
              </w:rPr>
              <w:t>1790</w:t>
            </w:r>
          </w:p>
        </w:tc>
        <w:tc>
          <w:tcPr>
            <w:tcW w:w="2268" w:type="dxa"/>
          </w:tcPr>
          <w:p w14:paraId="37A88E46" w14:textId="2603340D" w:rsidR="004D3EBF" w:rsidRPr="00ED573D" w:rsidRDefault="004D3EBF" w:rsidP="004D3EBF">
            <w:pPr>
              <w:jc w:val="center"/>
              <w:rPr>
                <w:rFonts w:ascii="Verdana" w:hAnsi="Verdana"/>
              </w:rPr>
            </w:pPr>
            <w:r w:rsidRPr="00C3258E">
              <w:rPr>
                <w:rFonts w:ascii="Verdana" w:hAnsi="Verdana"/>
                <w:i/>
                <w:iCs/>
              </w:rPr>
              <w:t>not</w:t>
            </w:r>
            <w:r>
              <w:rPr>
                <w:rFonts w:ascii="Verdana" w:hAnsi="Verdana"/>
              </w:rPr>
              <w:t xml:space="preserve"> final figure</w:t>
            </w:r>
          </w:p>
          <w:p w14:paraId="54685DCA" w14:textId="0E56EC01" w:rsidR="004D3EBF" w:rsidRPr="00ED573D" w:rsidRDefault="004D3EBF" w:rsidP="004D3EBF">
            <w:pPr>
              <w:jc w:val="center"/>
              <w:rPr>
                <w:rFonts w:ascii="Verdana" w:hAnsi="Verdana"/>
              </w:rPr>
            </w:pPr>
          </w:p>
        </w:tc>
      </w:tr>
      <w:tr w:rsidR="00C3258E" w14:paraId="7B3A4C07" w14:textId="77777777" w:rsidTr="00876574">
        <w:tc>
          <w:tcPr>
            <w:tcW w:w="562" w:type="dxa"/>
          </w:tcPr>
          <w:p w14:paraId="5C370061" w14:textId="77777777" w:rsidR="00C3258E" w:rsidRDefault="00C3258E" w:rsidP="00C3258E">
            <w:pPr>
              <w:rPr>
                <w:color w:val="FF0000"/>
              </w:rPr>
            </w:pPr>
          </w:p>
        </w:tc>
        <w:tc>
          <w:tcPr>
            <w:tcW w:w="1843" w:type="dxa"/>
            <w:vAlign w:val="center"/>
          </w:tcPr>
          <w:p w14:paraId="4516804D" w14:textId="5552E6B7" w:rsidR="00C3258E" w:rsidRPr="000E6026" w:rsidRDefault="00C3258E" w:rsidP="00C3258E">
            <w:pPr>
              <w:rPr>
                <w:rFonts w:ascii="Verdana" w:hAnsi="Verdana"/>
              </w:rPr>
            </w:pPr>
            <w:r w:rsidRPr="000E6026">
              <w:rPr>
                <w:rFonts w:ascii="Verdana" w:hAnsi="Verdana"/>
                <w:b/>
              </w:rPr>
              <w:t>Performance Indicator</w:t>
            </w:r>
          </w:p>
        </w:tc>
        <w:tc>
          <w:tcPr>
            <w:tcW w:w="2126" w:type="dxa"/>
            <w:vAlign w:val="center"/>
          </w:tcPr>
          <w:p w14:paraId="0B44D581" w14:textId="6869CF26" w:rsidR="00C3258E" w:rsidRPr="000E6026" w:rsidRDefault="00C3258E" w:rsidP="00C3258E">
            <w:pPr>
              <w:rPr>
                <w:rFonts w:ascii="Verdana" w:hAnsi="Verdana"/>
              </w:rPr>
            </w:pPr>
            <w:r w:rsidRPr="00463FA1">
              <w:rPr>
                <w:rFonts w:ascii="Verdana" w:hAnsi="Verdana"/>
                <w:b/>
              </w:rPr>
              <w:t>Measure</w:t>
            </w:r>
          </w:p>
        </w:tc>
        <w:tc>
          <w:tcPr>
            <w:tcW w:w="1418" w:type="dxa"/>
            <w:vAlign w:val="center"/>
          </w:tcPr>
          <w:p w14:paraId="3E3CC863" w14:textId="77777777" w:rsidR="00C3258E" w:rsidRPr="000E6026" w:rsidRDefault="00C3258E" w:rsidP="00C3258E">
            <w:pPr>
              <w:jc w:val="center"/>
              <w:rPr>
                <w:rFonts w:ascii="Verdana" w:hAnsi="Verdana"/>
                <w:b/>
              </w:rPr>
            </w:pPr>
            <w:r w:rsidRPr="000E6026">
              <w:rPr>
                <w:rFonts w:ascii="Verdana" w:hAnsi="Verdana"/>
                <w:b/>
              </w:rPr>
              <w:t>201</w:t>
            </w:r>
            <w:r>
              <w:rPr>
                <w:rFonts w:ascii="Verdana" w:hAnsi="Verdana"/>
                <w:b/>
              </w:rPr>
              <w:t>9-20</w:t>
            </w:r>
            <w:r w:rsidRPr="000E6026">
              <w:rPr>
                <w:rFonts w:ascii="Verdana" w:hAnsi="Verdana"/>
                <w:b/>
              </w:rPr>
              <w:t xml:space="preserve"> Target</w:t>
            </w:r>
          </w:p>
          <w:p w14:paraId="3CE040CD" w14:textId="77777777" w:rsidR="00C3258E" w:rsidRDefault="00C3258E" w:rsidP="00C3258E">
            <w:pPr>
              <w:jc w:val="center"/>
              <w:rPr>
                <w:rFonts w:ascii="Verdana" w:hAnsi="Verdana"/>
                <w:b/>
              </w:rPr>
            </w:pPr>
            <w:r w:rsidRPr="000E6026">
              <w:rPr>
                <w:rFonts w:ascii="Verdana" w:hAnsi="Verdana"/>
                <w:b/>
              </w:rPr>
              <w:t>%</w:t>
            </w:r>
          </w:p>
          <w:p w14:paraId="6ABF6CEF" w14:textId="77777777" w:rsidR="00C3258E" w:rsidRPr="00F46156" w:rsidRDefault="00C3258E" w:rsidP="00C3258E">
            <w:pPr>
              <w:jc w:val="center"/>
              <w:rPr>
                <w:rFonts w:ascii="Verdana" w:hAnsi="Verdana"/>
              </w:rPr>
            </w:pPr>
          </w:p>
        </w:tc>
        <w:tc>
          <w:tcPr>
            <w:tcW w:w="1418" w:type="dxa"/>
            <w:vAlign w:val="center"/>
          </w:tcPr>
          <w:p w14:paraId="0222D337" w14:textId="77777777" w:rsidR="00C3258E" w:rsidRPr="000E6026" w:rsidRDefault="00C3258E" w:rsidP="00C3258E">
            <w:pPr>
              <w:jc w:val="center"/>
              <w:rPr>
                <w:rFonts w:ascii="Verdana" w:hAnsi="Verdana"/>
                <w:b/>
              </w:rPr>
            </w:pPr>
            <w:r>
              <w:rPr>
                <w:rFonts w:ascii="Verdana" w:hAnsi="Verdana"/>
                <w:b/>
              </w:rPr>
              <w:t>2019-20</w:t>
            </w:r>
          </w:p>
          <w:p w14:paraId="0D0D9730" w14:textId="77777777" w:rsidR="00C3258E" w:rsidRPr="000E6026" w:rsidRDefault="00C3258E" w:rsidP="00C3258E">
            <w:pPr>
              <w:jc w:val="center"/>
              <w:rPr>
                <w:rFonts w:ascii="Verdana" w:hAnsi="Verdana"/>
                <w:b/>
              </w:rPr>
            </w:pPr>
            <w:r w:rsidRPr="000E6026">
              <w:rPr>
                <w:rFonts w:ascii="Verdana" w:hAnsi="Verdana"/>
                <w:b/>
              </w:rPr>
              <w:t>Outcome</w:t>
            </w:r>
          </w:p>
          <w:p w14:paraId="4CC2FA12" w14:textId="77777777" w:rsidR="00C3258E" w:rsidRDefault="00C3258E" w:rsidP="00C3258E">
            <w:pPr>
              <w:jc w:val="center"/>
              <w:rPr>
                <w:rFonts w:ascii="Verdana" w:hAnsi="Verdana"/>
              </w:rPr>
            </w:pPr>
          </w:p>
        </w:tc>
        <w:tc>
          <w:tcPr>
            <w:tcW w:w="2268" w:type="dxa"/>
          </w:tcPr>
          <w:p w14:paraId="6F0057EF" w14:textId="593406B3" w:rsidR="00C3258E" w:rsidRPr="00F46156" w:rsidRDefault="00C3258E" w:rsidP="00C3258E">
            <w:pPr>
              <w:jc w:val="center"/>
              <w:rPr>
                <w:rFonts w:ascii="Verdana" w:hAnsi="Verdana"/>
              </w:rPr>
            </w:pPr>
            <w:r>
              <w:rPr>
                <w:rFonts w:ascii="Verdana" w:hAnsi="Verdana"/>
                <w:b/>
              </w:rPr>
              <w:t>Comments</w:t>
            </w:r>
          </w:p>
        </w:tc>
      </w:tr>
      <w:tr w:rsidR="00C3258E" w14:paraId="6C27679A" w14:textId="5606E19B" w:rsidTr="00876574">
        <w:tc>
          <w:tcPr>
            <w:tcW w:w="562" w:type="dxa"/>
          </w:tcPr>
          <w:p w14:paraId="3EC5A34B" w14:textId="77777777" w:rsidR="00C3258E" w:rsidRDefault="00C3258E" w:rsidP="00C3258E">
            <w:pPr>
              <w:rPr>
                <w:color w:val="FF0000"/>
              </w:rPr>
            </w:pPr>
          </w:p>
        </w:tc>
        <w:tc>
          <w:tcPr>
            <w:tcW w:w="1843" w:type="dxa"/>
          </w:tcPr>
          <w:p w14:paraId="45DDC68C" w14:textId="77777777" w:rsidR="00C3258E" w:rsidRPr="000E6026" w:rsidRDefault="00C3258E" w:rsidP="00C3258E">
            <w:pPr>
              <w:rPr>
                <w:rFonts w:ascii="Verdana" w:hAnsi="Verdana"/>
              </w:rPr>
            </w:pPr>
            <w:r w:rsidRPr="000E6026">
              <w:rPr>
                <w:rFonts w:ascii="Verdana" w:hAnsi="Verdana"/>
              </w:rPr>
              <w:t xml:space="preserve">Recruitment </w:t>
            </w:r>
          </w:p>
          <w:p w14:paraId="6816CE89" w14:textId="77777777" w:rsidR="00C3258E" w:rsidRPr="000E6026" w:rsidRDefault="00C3258E" w:rsidP="00C3258E">
            <w:pPr>
              <w:rPr>
                <w:rFonts w:ascii="Verdana" w:hAnsi="Verdana"/>
              </w:rPr>
            </w:pPr>
          </w:p>
          <w:p w14:paraId="3F16477E" w14:textId="77777777" w:rsidR="00C3258E" w:rsidRPr="000E6026" w:rsidRDefault="00C3258E" w:rsidP="00C3258E">
            <w:pPr>
              <w:rPr>
                <w:rFonts w:ascii="Verdana" w:hAnsi="Verdana"/>
                <w:color w:val="FF0000"/>
              </w:rPr>
            </w:pPr>
          </w:p>
        </w:tc>
        <w:tc>
          <w:tcPr>
            <w:tcW w:w="2126" w:type="dxa"/>
          </w:tcPr>
          <w:p w14:paraId="44E32651" w14:textId="77777777" w:rsidR="00C3258E" w:rsidRDefault="00C3258E" w:rsidP="00C3258E">
            <w:pPr>
              <w:rPr>
                <w:rFonts w:ascii="Verdana" w:hAnsi="Verdana"/>
              </w:rPr>
            </w:pPr>
            <w:r w:rsidRPr="000E6026">
              <w:rPr>
                <w:rFonts w:ascii="Verdana" w:hAnsi="Verdana"/>
              </w:rPr>
              <w:t>Application to offer conversion rate</w:t>
            </w:r>
            <w:r>
              <w:rPr>
                <w:rFonts w:ascii="Verdana" w:hAnsi="Verdana"/>
              </w:rPr>
              <w:t>.</w:t>
            </w:r>
          </w:p>
          <w:p w14:paraId="54C17F0B" w14:textId="3A38D731" w:rsidR="00C3258E" w:rsidRPr="00613224" w:rsidRDefault="00C3258E" w:rsidP="00C3258E">
            <w:pPr>
              <w:rPr>
                <w:rFonts w:ascii="Verdana" w:hAnsi="Verdana"/>
              </w:rPr>
            </w:pPr>
          </w:p>
        </w:tc>
        <w:tc>
          <w:tcPr>
            <w:tcW w:w="1418" w:type="dxa"/>
          </w:tcPr>
          <w:p w14:paraId="43628C44" w14:textId="7B0AB5A9" w:rsidR="00C3258E" w:rsidRDefault="00C3258E" w:rsidP="00C3258E">
            <w:pPr>
              <w:jc w:val="center"/>
              <w:rPr>
                <w:rFonts w:ascii="Verdana" w:hAnsi="Verdana"/>
              </w:rPr>
            </w:pPr>
            <w:r w:rsidRPr="00F46156">
              <w:rPr>
                <w:rFonts w:ascii="Verdana" w:hAnsi="Verdana"/>
              </w:rPr>
              <w:t>75%</w:t>
            </w:r>
          </w:p>
        </w:tc>
        <w:tc>
          <w:tcPr>
            <w:tcW w:w="1418" w:type="dxa"/>
          </w:tcPr>
          <w:p w14:paraId="4D77F50D" w14:textId="7A1E220A" w:rsidR="00C3258E" w:rsidRDefault="00C3258E" w:rsidP="00C3258E">
            <w:pPr>
              <w:jc w:val="center"/>
              <w:rPr>
                <w:rFonts w:ascii="Verdana" w:hAnsi="Verdana"/>
              </w:rPr>
            </w:pPr>
            <w:r>
              <w:rPr>
                <w:rFonts w:ascii="Verdana" w:hAnsi="Verdana"/>
              </w:rPr>
              <w:t>51</w:t>
            </w:r>
            <w:r w:rsidRPr="000E6026">
              <w:rPr>
                <w:rFonts w:ascii="Verdana" w:hAnsi="Verdana"/>
              </w:rPr>
              <w:t>%</w:t>
            </w:r>
          </w:p>
          <w:p w14:paraId="1E33B3C5" w14:textId="5613B79D" w:rsidR="00C3258E" w:rsidRPr="000E6026" w:rsidRDefault="00C3258E" w:rsidP="00C3258E">
            <w:pPr>
              <w:jc w:val="center"/>
              <w:rPr>
                <w:rFonts w:ascii="Verdana" w:hAnsi="Verdana"/>
                <w:color w:val="FF0000"/>
              </w:rPr>
            </w:pPr>
          </w:p>
        </w:tc>
        <w:tc>
          <w:tcPr>
            <w:tcW w:w="2268" w:type="dxa"/>
          </w:tcPr>
          <w:p w14:paraId="6109E9F2" w14:textId="5A453DF9" w:rsidR="00C3258E" w:rsidRPr="00F46156" w:rsidRDefault="00C3258E" w:rsidP="00C3258E">
            <w:pPr>
              <w:jc w:val="center"/>
              <w:rPr>
                <w:rFonts w:ascii="Verdana" w:hAnsi="Verdana"/>
              </w:rPr>
            </w:pPr>
          </w:p>
        </w:tc>
      </w:tr>
      <w:tr w:rsidR="00C3258E" w14:paraId="5B9AB348" w14:textId="77777777" w:rsidTr="00876574">
        <w:tc>
          <w:tcPr>
            <w:tcW w:w="562" w:type="dxa"/>
          </w:tcPr>
          <w:p w14:paraId="6CFD3F07" w14:textId="77777777" w:rsidR="00C3258E" w:rsidRDefault="00C3258E" w:rsidP="00C3258E">
            <w:pPr>
              <w:rPr>
                <w:color w:val="FF0000"/>
              </w:rPr>
            </w:pPr>
          </w:p>
        </w:tc>
        <w:tc>
          <w:tcPr>
            <w:tcW w:w="1843" w:type="dxa"/>
            <w:vAlign w:val="center"/>
          </w:tcPr>
          <w:p w14:paraId="4A67E076" w14:textId="77777777" w:rsidR="00C3258E" w:rsidRPr="000E6026" w:rsidRDefault="00C3258E" w:rsidP="00C3258E">
            <w:pPr>
              <w:rPr>
                <w:rFonts w:ascii="Verdana" w:hAnsi="Verdana"/>
                <w:b/>
              </w:rPr>
            </w:pPr>
          </w:p>
        </w:tc>
        <w:tc>
          <w:tcPr>
            <w:tcW w:w="2126" w:type="dxa"/>
            <w:vAlign w:val="center"/>
          </w:tcPr>
          <w:p w14:paraId="0A397EC2" w14:textId="77777777" w:rsidR="00C3258E" w:rsidRDefault="00C3258E" w:rsidP="00C3258E">
            <w:pPr>
              <w:rPr>
                <w:rFonts w:ascii="Verdana" w:hAnsi="Verdana"/>
              </w:rPr>
            </w:pPr>
            <w:r w:rsidRPr="00463FA1">
              <w:rPr>
                <w:rFonts w:ascii="Verdana" w:hAnsi="Verdana"/>
              </w:rPr>
              <w:t>Offer to enrolment conversion rate</w:t>
            </w:r>
          </w:p>
          <w:p w14:paraId="0E1ADE85" w14:textId="4EF0E2CC" w:rsidR="00C3258E" w:rsidRPr="00463FA1" w:rsidRDefault="00C3258E" w:rsidP="00C3258E">
            <w:pPr>
              <w:rPr>
                <w:rFonts w:ascii="Verdana" w:hAnsi="Verdana"/>
                <w:b/>
              </w:rPr>
            </w:pPr>
          </w:p>
        </w:tc>
        <w:tc>
          <w:tcPr>
            <w:tcW w:w="1418" w:type="dxa"/>
            <w:vAlign w:val="center"/>
          </w:tcPr>
          <w:p w14:paraId="37D74B04" w14:textId="086286C9" w:rsidR="00C3258E" w:rsidRPr="00463FA1" w:rsidRDefault="00C3258E" w:rsidP="00C3258E">
            <w:pPr>
              <w:jc w:val="center"/>
              <w:rPr>
                <w:rFonts w:ascii="Verdana" w:hAnsi="Verdana"/>
                <w:bCs/>
              </w:rPr>
            </w:pPr>
            <w:r w:rsidRPr="00463FA1">
              <w:rPr>
                <w:rFonts w:ascii="Verdana" w:hAnsi="Verdana"/>
                <w:bCs/>
              </w:rPr>
              <w:t>42%</w:t>
            </w:r>
          </w:p>
        </w:tc>
        <w:tc>
          <w:tcPr>
            <w:tcW w:w="1418" w:type="dxa"/>
            <w:vAlign w:val="center"/>
          </w:tcPr>
          <w:p w14:paraId="5965A2DB" w14:textId="5C8C015E" w:rsidR="00C3258E" w:rsidRPr="00463FA1" w:rsidRDefault="00C3258E" w:rsidP="00C3258E">
            <w:pPr>
              <w:jc w:val="center"/>
              <w:rPr>
                <w:rFonts w:ascii="Verdana" w:hAnsi="Verdana"/>
                <w:bCs/>
              </w:rPr>
            </w:pPr>
            <w:r w:rsidRPr="00463FA1">
              <w:rPr>
                <w:rFonts w:ascii="Verdana" w:hAnsi="Verdana"/>
                <w:bCs/>
              </w:rPr>
              <w:t>46.6%</w:t>
            </w:r>
          </w:p>
        </w:tc>
        <w:tc>
          <w:tcPr>
            <w:tcW w:w="2268" w:type="dxa"/>
          </w:tcPr>
          <w:p w14:paraId="2B259390" w14:textId="77777777" w:rsidR="00C3258E" w:rsidRDefault="00C3258E" w:rsidP="00C3258E">
            <w:pPr>
              <w:jc w:val="center"/>
              <w:rPr>
                <w:rFonts w:ascii="Verdana" w:hAnsi="Verdana"/>
                <w:b/>
              </w:rPr>
            </w:pPr>
          </w:p>
        </w:tc>
      </w:tr>
      <w:tr w:rsidR="00C3258E" w14:paraId="58A08060" w14:textId="0D8DA513" w:rsidTr="00876574">
        <w:tc>
          <w:tcPr>
            <w:tcW w:w="562" w:type="dxa"/>
          </w:tcPr>
          <w:p w14:paraId="6D99B321" w14:textId="77777777" w:rsidR="00C3258E" w:rsidRDefault="00C3258E" w:rsidP="00C3258E">
            <w:pPr>
              <w:rPr>
                <w:color w:val="FF0000"/>
              </w:rPr>
            </w:pPr>
          </w:p>
        </w:tc>
        <w:tc>
          <w:tcPr>
            <w:tcW w:w="1843" w:type="dxa"/>
          </w:tcPr>
          <w:p w14:paraId="6E20CEE3" w14:textId="03C59893" w:rsidR="00C3258E" w:rsidRPr="00EA2CE0" w:rsidRDefault="00C3258E" w:rsidP="00C3258E">
            <w:pPr>
              <w:rPr>
                <w:rFonts w:ascii="Verdana" w:hAnsi="Verdana"/>
              </w:rPr>
            </w:pPr>
            <w:r w:rsidRPr="00EA2CE0">
              <w:rPr>
                <w:rFonts w:ascii="Verdana" w:hAnsi="Verdana"/>
              </w:rPr>
              <w:t>Internal Progression</w:t>
            </w:r>
          </w:p>
          <w:p w14:paraId="3C79DD78" w14:textId="77777777" w:rsidR="00C3258E" w:rsidRPr="000E6026" w:rsidRDefault="00C3258E" w:rsidP="00C3258E">
            <w:pPr>
              <w:rPr>
                <w:rFonts w:ascii="Verdana" w:hAnsi="Verdana"/>
                <w:b/>
              </w:rPr>
            </w:pPr>
          </w:p>
        </w:tc>
        <w:tc>
          <w:tcPr>
            <w:tcW w:w="2126" w:type="dxa"/>
          </w:tcPr>
          <w:p w14:paraId="7D55CA64" w14:textId="376D44CA" w:rsidR="00C3258E" w:rsidRDefault="00C3258E" w:rsidP="00C3258E">
            <w:pPr>
              <w:rPr>
                <w:rFonts w:ascii="Verdana" w:hAnsi="Verdana"/>
              </w:rPr>
            </w:pPr>
            <w:r w:rsidRPr="00EA2CE0">
              <w:rPr>
                <w:rFonts w:ascii="Verdana" w:hAnsi="Verdana"/>
              </w:rPr>
              <w:t>% of students progressing from vocational L2 –L3</w:t>
            </w:r>
            <w:r>
              <w:rPr>
                <w:rFonts w:ascii="Verdana" w:hAnsi="Verdana"/>
              </w:rPr>
              <w:t>.</w:t>
            </w:r>
          </w:p>
          <w:p w14:paraId="2A320E66" w14:textId="1A0AA8B5" w:rsidR="00C3258E" w:rsidRPr="000E6026" w:rsidRDefault="00C3258E" w:rsidP="00C3258E">
            <w:pPr>
              <w:rPr>
                <w:rFonts w:ascii="Verdana" w:hAnsi="Verdana"/>
                <w:b/>
              </w:rPr>
            </w:pPr>
          </w:p>
        </w:tc>
        <w:tc>
          <w:tcPr>
            <w:tcW w:w="1418" w:type="dxa"/>
            <w:vAlign w:val="center"/>
          </w:tcPr>
          <w:p w14:paraId="5134B434" w14:textId="21BEABAA" w:rsidR="00C3258E" w:rsidRDefault="00C3258E" w:rsidP="00C3258E">
            <w:pPr>
              <w:jc w:val="center"/>
              <w:rPr>
                <w:rFonts w:ascii="Verdana" w:hAnsi="Verdana"/>
              </w:rPr>
            </w:pPr>
            <w:r>
              <w:rPr>
                <w:rFonts w:ascii="Verdana" w:hAnsi="Verdana"/>
              </w:rPr>
              <w:t>75</w:t>
            </w:r>
            <w:r w:rsidRPr="00FD4019">
              <w:rPr>
                <w:rFonts w:ascii="Verdana" w:hAnsi="Verdana"/>
              </w:rPr>
              <w:t>%</w:t>
            </w:r>
          </w:p>
        </w:tc>
        <w:tc>
          <w:tcPr>
            <w:tcW w:w="1418" w:type="dxa"/>
            <w:vAlign w:val="center"/>
          </w:tcPr>
          <w:p w14:paraId="5D5F35AC" w14:textId="7BBD7E25" w:rsidR="00C3258E" w:rsidRPr="00FD4019" w:rsidRDefault="00C3258E" w:rsidP="00C3258E">
            <w:pPr>
              <w:jc w:val="center"/>
              <w:rPr>
                <w:rFonts w:ascii="Verdana" w:hAnsi="Verdana"/>
                <w:b/>
              </w:rPr>
            </w:pPr>
            <w:r w:rsidRPr="00FD4019">
              <w:rPr>
                <w:rFonts w:ascii="Verdana" w:hAnsi="Verdana"/>
              </w:rPr>
              <w:t>7</w:t>
            </w:r>
            <w:r>
              <w:rPr>
                <w:rFonts w:ascii="Verdana" w:hAnsi="Verdana"/>
              </w:rPr>
              <w:t>8</w:t>
            </w:r>
            <w:r w:rsidRPr="00FD4019">
              <w:rPr>
                <w:rFonts w:ascii="Verdana" w:hAnsi="Verdana"/>
              </w:rPr>
              <w:t>%</w:t>
            </w:r>
          </w:p>
        </w:tc>
        <w:tc>
          <w:tcPr>
            <w:tcW w:w="2268" w:type="dxa"/>
            <w:vAlign w:val="center"/>
          </w:tcPr>
          <w:p w14:paraId="1F5F9A35" w14:textId="77777777" w:rsidR="00C3258E" w:rsidRDefault="00C3258E" w:rsidP="00C3258E">
            <w:pPr>
              <w:jc w:val="center"/>
              <w:rPr>
                <w:rFonts w:ascii="Verdana" w:hAnsi="Verdana"/>
              </w:rPr>
            </w:pPr>
          </w:p>
          <w:p w14:paraId="0E027C68" w14:textId="79445EAC" w:rsidR="00C3258E" w:rsidRPr="00FD4019" w:rsidRDefault="00C3258E" w:rsidP="00C3258E">
            <w:pPr>
              <w:jc w:val="center"/>
              <w:rPr>
                <w:rFonts w:ascii="Verdana" w:hAnsi="Verdana"/>
              </w:rPr>
            </w:pPr>
          </w:p>
        </w:tc>
      </w:tr>
      <w:tr w:rsidR="00C3258E" w14:paraId="27A29195" w14:textId="464063DC" w:rsidTr="00876574">
        <w:tc>
          <w:tcPr>
            <w:tcW w:w="562" w:type="dxa"/>
          </w:tcPr>
          <w:p w14:paraId="6CD9460C" w14:textId="77777777" w:rsidR="00C3258E" w:rsidRDefault="00C3258E" w:rsidP="00C3258E">
            <w:pPr>
              <w:rPr>
                <w:color w:val="FF0000"/>
              </w:rPr>
            </w:pPr>
          </w:p>
        </w:tc>
        <w:tc>
          <w:tcPr>
            <w:tcW w:w="1843" w:type="dxa"/>
          </w:tcPr>
          <w:p w14:paraId="666119E4" w14:textId="77777777" w:rsidR="00C3258E" w:rsidRPr="000E6026" w:rsidRDefault="00C3258E" w:rsidP="00C3258E">
            <w:pPr>
              <w:rPr>
                <w:rFonts w:ascii="Verdana" w:hAnsi="Verdana"/>
                <w:b/>
              </w:rPr>
            </w:pPr>
          </w:p>
        </w:tc>
        <w:tc>
          <w:tcPr>
            <w:tcW w:w="2126" w:type="dxa"/>
          </w:tcPr>
          <w:p w14:paraId="5E29214D" w14:textId="77777777" w:rsidR="00C3258E" w:rsidRPr="00FD4019" w:rsidRDefault="00C3258E" w:rsidP="00C3258E">
            <w:pPr>
              <w:rPr>
                <w:rFonts w:ascii="Verdana" w:hAnsi="Verdana"/>
              </w:rPr>
            </w:pPr>
            <w:r w:rsidRPr="00FD4019">
              <w:rPr>
                <w:rFonts w:ascii="Verdana" w:hAnsi="Verdana"/>
              </w:rPr>
              <w:t>% of students progressing from A level year 1 to A-level year 2</w:t>
            </w:r>
          </w:p>
          <w:p w14:paraId="362B3072" w14:textId="46BF4481" w:rsidR="00C3258E" w:rsidRPr="00FD4019" w:rsidRDefault="00C3258E" w:rsidP="00C3258E">
            <w:pPr>
              <w:rPr>
                <w:rFonts w:ascii="Verdana" w:hAnsi="Verdana"/>
                <w:b/>
              </w:rPr>
            </w:pPr>
          </w:p>
        </w:tc>
        <w:tc>
          <w:tcPr>
            <w:tcW w:w="1418" w:type="dxa"/>
            <w:vAlign w:val="center"/>
          </w:tcPr>
          <w:p w14:paraId="31EE24AA" w14:textId="77777777" w:rsidR="00C3258E" w:rsidRPr="00FD4019" w:rsidRDefault="00C3258E" w:rsidP="00C3258E">
            <w:pPr>
              <w:jc w:val="center"/>
              <w:rPr>
                <w:rFonts w:ascii="Verdana" w:hAnsi="Verdana"/>
              </w:rPr>
            </w:pPr>
            <w:r w:rsidRPr="00FD4019">
              <w:rPr>
                <w:rFonts w:ascii="Verdana" w:hAnsi="Verdana"/>
              </w:rPr>
              <w:t>90%</w:t>
            </w:r>
          </w:p>
          <w:p w14:paraId="77C040C9" w14:textId="77777777" w:rsidR="00C3258E" w:rsidRPr="00FD4019" w:rsidRDefault="00C3258E" w:rsidP="00C3258E">
            <w:pPr>
              <w:jc w:val="center"/>
              <w:rPr>
                <w:rFonts w:ascii="Verdana" w:hAnsi="Verdana"/>
              </w:rPr>
            </w:pPr>
          </w:p>
        </w:tc>
        <w:tc>
          <w:tcPr>
            <w:tcW w:w="1418" w:type="dxa"/>
            <w:vAlign w:val="center"/>
          </w:tcPr>
          <w:p w14:paraId="5F888CF2" w14:textId="7E363D8A" w:rsidR="00C3258E" w:rsidRPr="00FD4019" w:rsidRDefault="00C3258E" w:rsidP="00C3258E">
            <w:pPr>
              <w:jc w:val="center"/>
              <w:rPr>
                <w:rFonts w:ascii="Verdana" w:hAnsi="Verdana"/>
              </w:rPr>
            </w:pPr>
            <w:r w:rsidRPr="00FD4019">
              <w:rPr>
                <w:rFonts w:ascii="Verdana" w:hAnsi="Verdana"/>
              </w:rPr>
              <w:t>86%</w:t>
            </w:r>
          </w:p>
          <w:p w14:paraId="31EE5F7B" w14:textId="3B3EDE57" w:rsidR="00C3258E" w:rsidRPr="00FD4019" w:rsidRDefault="00C3258E" w:rsidP="00C3258E">
            <w:pPr>
              <w:jc w:val="center"/>
              <w:rPr>
                <w:rFonts w:ascii="Verdana" w:hAnsi="Verdana"/>
                <w:b/>
              </w:rPr>
            </w:pPr>
          </w:p>
        </w:tc>
        <w:tc>
          <w:tcPr>
            <w:tcW w:w="2268" w:type="dxa"/>
          </w:tcPr>
          <w:p w14:paraId="7C507F6E" w14:textId="77777777" w:rsidR="00C3258E" w:rsidRDefault="00C3258E" w:rsidP="00C3258E">
            <w:pPr>
              <w:jc w:val="center"/>
              <w:rPr>
                <w:rFonts w:ascii="Verdana" w:hAnsi="Verdana"/>
              </w:rPr>
            </w:pPr>
          </w:p>
          <w:p w14:paraId="2F43C219" w14:textId="1EA8D9D2" w:rsidR="00C3258E" w:rsidRPr="00FD4019" w:rsidRDefault="00C3258E" w:rsidP="00C3258E">
            <w:pPr>
              <w:jc w:val="center"/>
              <w:rPr>
                <w:rFonts w:ascii="Verdana" w:hAnsi="Verdana"/>
              </w:rPr>
            </w:pPr>
          </w:p>
        </w:tc>
      </w:tr>
      <w:tr w:rsidR="00C3258E" w14:paraId="2B36F95F" w14:textId="77777777" w:rsidTr="00876574">
        <w:tc>
          <w:tcPr>
            <w:tcW w:w="562" w:type="dxa"/>
          </w:tcPr>
          <w:p w14:paraId="329032CE" w14:textId="77777777" w:rsidR="00C3258E" w:rsidRDefault="00C3258E" w:rsidP="00C3258E">
            <w:pPr>
              <w:rPr>
                <w:color w:val="FF0000"/>
              </w:rPr>
            </w:pPr>
          </w:p>
        </w:tc>
        <w:tc>
          <w:tcPr>
            <w:tcW w:w="1843" w:type="dxa"/>
          </w:tcPr>
          <w:p w14:paraId="60F9E406" w14:textId="77777777" w:rsidR="00C3258E" w:rsidRPr="00EA2CE0" w:rsidRDefault="00C3258E" w:rsidP="00C3258E">
            <w:pPr>
              <w:rPr>
                <w:rFonts w:ascii="Verdana" w:hAnsi="Verdana"/>
              </w:rPr>
            </w:pPr>
          </w:p>
        </w:tc>
        <w:tc>
          <w:tcPr>
            <w:tcW w:w="2126" w:type="dxa"/>
          </w:tcPr>
          <w:p w14:paraId="06D49F4A" w14:textId="6F9C3049" w:rsidR="00C3258E" w:rsidRPr="00FD4019" w:rsidRDefault="00C3258E" w:rsidP="00C3258E">
            <w:pPr>
              <w:rPr>
                <w:rFonts w:ascii="Verdana" w:hAnsi="Verdana"/>
                <w:b/>
              </w:rPr>
            </w:pPr>
            <w:r w:rsidRPr="00FD4019">
              <w:rPr>
                <w:rFonts w:ascii="Verdana" w:hAnsi="Verdana"/>
              </w:rPr>
              <w:t>% of students progressing from A Level Year 1 in total</w:t>
            </w:r>
            <w:r w:rsidRPr="00FD4019">
              <w:rPr>
                <w:rFonts w:ascii="Verdana" w:hAnsi="Verdana"/>
                <w:b/>
              </w:rPr>
              <w:t xml:space="preserve"> </w:t>
            </w:r>
          </w:p>
          <w:p w14:paraId="6DAD9630" w14:textId="49477EDC" w:rsidR="00C3258E" w:rsidRPr="00606929" w:rsidRDefault="00C3258E" w:rsidP="00C3258E">
            <w:pPr>
              <w:rPr>
                <w:rFonts w:ascii="Verdana" w:hAnsi="Verdana"/>
                <w:sz w:val="20"/>
                <w:szCs w:val="20"/>
              </w:rPr>
            </w:pPr>
          </w:p>
        </w:tc>
        <w:tc>
          <w:tcPr>
            <w:tcW w:w="1418" w:type="dxa"/>
          </w:tcPr>
          <w:p w14:paraId="2BDD7FAD" w14:textId="77777777" w:rsidR="00C3258E" w:rsidRDefault="00C3258E" w:rsidP="00C3258E">
            <w:pPr>
              <w:jc w:val="center"/>
              <w:rPr>
                <w:rFonts w:ascii="Verdana" w:hAnsi="Verdana"/>
              </w:rPr>
            </w:pPr>
          </w:p>
          <w:p w14:paraId="70950A65" w14:textId="77777777" w:rsidR="00C3258E" w:rsidRDefault="00C3258E" w:rsidP="00C3258E">
            <w:pPr>
              <w:jc w:val="center"/>
              <w:rPr>
                <w:rFonts w:ascii="Verdana" w:hAnsi="Verdana"/>
              </w:rPr>
            </w:pPr>
          </w:p>
          <w:p w14:paraId="44B029B5" w14:textId="6B77DE38" w:rsidR="00C3258E" w:rsidRDefault="00C3258E" w:rsidP="00C3258E">
            <w:pPr>
              <w:jc w:val="center"/>
              <w:rPr>
                <w:rFonts w:ascii="Verdana" w:hAnsi="Verdana"/>
              </w:rPr>
            </w:pPr>
            <w:r>
              <w:rPr>
                <w:rFonts w:ascii="Verdana" w:hAnsi="Verdana"/>
              </w:rPr>
              <w:t>94%</w:t>
            </w:r>
          </w:p>
        </w:tc>
        <w:tc>
          <w:tcPr>
            <w:tcW w:w="1418" w:type="dxa"/>
          </w:tcPr>
          <w:p w14:paraId="018D3CF7" w14:textId="77777777" w:rsidR="00C3258E" w:rsidRDefault="00C3258E" w:rsidP="00C3258E">
            <w:pPr>
              <w:jc w:val="center"/>
              <w:rPr>
                <w:rFonts w:ascii="Verdana" w:hAnsi="Verdana"/>
              </w:rPr>
            </w:pPr>
          </w:p>
          <w:p w14:paraId="1D114A5B" w14:textId="77777777" w:rsidR="00C3258E" w:rsidRDefault="00C3258E" w:rsidP="00C3258E">
            <w:pPr>
              <w:jc w:val="center"/>
              <w:rPr>
                <w:rFonts w:ascii="Verdana" w:hAnsi="Verdana"/>
              </w:rPr>
            </w:pPr>
          </w:p>
          <w:p w14:paraId="3767B1BD" w14:textId="2845A609" w:rsidR="00C3258E" w:rsidRDefault="00C3258E" w:rsidP="00C3258E">
            <w:pPr>
              <w:jc w:val="center"/>
              <w:rPr>
                <w:rFonts w:ascii="Verdana" w:hAnsi="Verdana"/>
              </w:rPr>
            </w:pPr>
            <w:r>
              <w:rPr>
                <w:rFonts w:ascii="Verdana" w:hAnsi="Verdana"/>
              </w:rPr>
              <w:t>90%</w:t>
            </w:r>
          </w:p>
        </w:tc>
        <w:tc>
          <w:tcPr>
            <w:tcW w:w="2268" w:type="dxa"/>
          </w:tcPr>
          <w:p w14:paraId="31FBFD73" w14:textId="12FF665D" w:rsidR="00C3258E" w:rsidRPr="00FD4019" w:rsidRDefault="00C3258E" w:rsidP="00C3258E">
            <w:pPr>
              <w:jc w:val="center"/>
              <w:rPr>
                <w:rFonts w:ascii="Verdana" w:hAnsi="Verdana"/>
              </w:rPr>
            </w:pPr>
          </w:p>
        </w:tc>
      </w:tr>
      <w:tr w:rsidR="00C3258E" w14:paraId="53E7FFCA" w14:textId="77777777" w:rsidTr="00876574">
        <w:tc>
          <w:tcPr>
            <w:tcW w:w="562" w:type="dxa"/>
          </w:tcPr>
          <w:p w14:paraId="25F43AC8" w14:textId="77777777" w:rsidR="00C3258E" w:rsidRDefault="00C3258E" w:rsidP="00C3258E">
            <w:pPr>
              <w:rPr>
                <w:color w:val="FF0000"/>
              </w:rPr>
            </w:pPr>
          </w:p>
        </w:tc>
        <w:tc>
          <w:tcPr>
            <w:tcW w:w="1843" w:type="dxa"/>
          </w:tcPr>
          <w:p w14:paraId="257FE120" w14:textId="77777777" w:rsidR="00C3258E" w:rsidRPr="00EA2CE0" w:rsidRDefault="00C3258E" w:rsidP="00C3258E">
            <w:pPr>
              <w:rPr>
                <w:rFonts w:ascii="Verdana" w:hAnsi="Verdana"/>
              </w:rPr>
            </w:pPr>
          </w:p>
        </w:tc>
        <w:tc>
          <w:tcPr>
            <w:tcW w:w="2126" w:type="dxa"/>
          </w:tcPr>
          <w:p w14:paraId="3D29B7DA" w14:textId="77777777" w:rsidR="00C3258E" w:rsidRPr="002D07AD" w:rsidRDefault="00C3258E" w:rsidP="00C3258E">
            <w:pPr>
              <w:rPr>
                <w:rFonts w:ascii="Verdana" w:hAnsi="Verdana"/>
              </w:rPr>
            </w:pPr>
            <w:r w:rsidRPr="002D07AD">
              <w:rPr>
                <w:rFonts w:ascii="Verdana" w:hAnsi="Verdana"/>
              </w:rPr>
              <w:t>% of students progressing from A Level Year 1 in total</w:t>
            </w:r>
          </w:p>
          <w:p w14:paraId="35EC53A1" w14:textId="6325D358" w:rsidR="00C3258E" w:rsidRPr="002D07AD" w:rsidRDefault="00C3258E" w:rsidP="00C3258E">
            <w:pPr>
              <w:rPr>
                <w:rFonts w:ascii="Verdana" w:hAnsi="Verdana"/>
              </w:rPr>
            </w:pPr>
          </w:p>
        </w:tc>
        <w:tc>
          <w:tcPr>
            <w:tcW w:w="1418" w:type="dxa"/>
          </w:tcPr>
          <w:p w14:paraId="4F86E195" w14:textId="07CDD752" w:rsidR="00C3258E" w:rsidRDefault="00C3258E" w:rsidP="00C3258E">
            <w:pPr>
              <w:jc w:val="center"/>
              <w:rPr>
                <w:rFonts w:ascii="Verdana" w:hAnsi="Verdana"/>
              </w:rPr>
            </w:pPr>
            <w:r>
              <w:rPr>
                <w:rFonts w:ascii="Verdana" w:hAnsi="Verdana"/>
              </w:rPr>
              <w:t>94%</w:t>
            </w:r>
          </w:p>
        </w:tc>
        <w:tc>
          <w:tcPr>
            <w:tcW w:w="1418" w:type="dxa"/>
          </w:tcPr>
          <w:p w14:paraId="46511A82" w14:textId="4C539F05" w:rsidR="00C3258E" w:rsidRDefault="00C3258E" w:rsidP="00C3258E">
            <w:pPr>
              <w:jc w:val="center"/>
              <w:rPr>
                <w:rFonts w:ascii="Verdana" w:hAnsi="Verdana"/>
              </w:rPr>
            </w:pPr>
            <w:r>
              <w:rPr>
                <w:rFonts w:ascii="Verdana" w:hAnsi="Verdana"/>
              </w:rPr>
              <w:t>93%</w:t>
            </w:r>
          </w:p>
        </w:tc>
        <w:tc>
          <w:tcPr>
            <w:tcW w:w="2268" w:type="dxa"/>
          </w:tcPr>
          <w:p w14:paraId="3FC717C7" w14:textId="7323094E" w:rsidR="00C3258E" w:rsidRPr="00F46156" w:rsidRDefault="00C3258E" w:rsidP="00C3258E">
            <w:pPr>
              <w:jc w:val="center"/>
              <w:rPr>
                <w:rFonts w:ascii="Verdana" w:hAnsi="Verdana"/>
              </w:rPr>
            </w:pPr>
          </w:p>
        </w:tc>
      </w:tr>
      <w:tr w:rsidR="00C3258E" w14:paraId="0E39D2D2" w14:textId="31A98D8E" w:rsidTr="00876574">
        <w:tc>
          <w:tcPr>
            <w:tcW w:w="562" w:type="dxa"/>
          </w:tcPr>
          <w:p w14:paraId="0A50559B" w14:textId="77777777" w:rsidR="00C3258E" w:rsidRDefault="00C3258E" w:rsidP="00C3258E">
            <w:pPr>
              <w:rPr>
                <w:color w:val="FF0000"/>
              </w:rPr>
            </w:pPr>
          </w:p>
        </w:tc>
        <w:tc>
          <w:tcPr>
            <w:tcW w:w="1843" w:type="dxa"/>
          </w:tcPr>
          <w:p w14:paraId="46F0C6FE" w14:textId="77777777" w:rsidR="00C3258E" w:rsidRPr="00EA2CE0" w:rsidRDefault="00C3258E" w:rsidP="00C3258E">
            <w:pPr>
              <w:rPr>
                <w:rFonts w:ascii="Verdana" w:hAnsi="Verdana"/>
              </w:rPr>
            </w:pPr>
          </w:p>
        </w:tc>
        <w:tc>
          <w:tcPr>
            <w:tcW w:w="2126" w:type="dxa"/>
          </w:tcPr>
          <w:p w14:paraId="3A61B149" w14:textId="77777777" w:rsidR="00C3258E" w:rsidRDefault="00C3258E" w:rsidP="00C3258E">
            <w:pPr>
              <w:rPr>
                <w:rFonts w:ascii="Verdana" w:hAnsi="Verdana"/>
              </w:rPr>
            </w:pPr>
            <w:r w:rsidRPr="00EA2CE0">
              <w:rPr>
                <w:rFonts w:ascii="Verdana" w:hAnsi="Verdana"/>
              </w:rPr>
              <w:t>% of students progressing from L3 BTEC Y1 to Y2</w:t>
            </w:r>
          </w:p>
          <w:p w14:paraId="1E0ED425" w14:textId="32B3E4EA" w:rsidR="00C3258E" w:rsidRPr="00EA2CE0" w:rsidRDefault="00C3258E" w:rsidP="00C3258E">
            <w:pPr>
              <w:rPr>
                <w:rFonts w:ascii="Verdana" w:hAnsi="Verdana"/>
              </w:rPr>
            </w:pPr>
          </w:p>
        </w:tc>
        <w:tc>
          <w:tcPr>
            <w:tcW w:w="1418" w:type="dxa"/>
          </w:tcPr>
          <w:p w14:paraId="3C94514B" w14:textId="2923251C" w:rsidR="00C3258E" w:rsidRPr="00EA2CE0" w:rsidRDefault="00C3258E" w:rsidP="00C3258E">
            <w:pPr>
              <w:jc w:val="center"/>
              <w:rPr>
                <w:rFonts w:ascii="Verdana" w:hAnsi="Verdana"/>
              </w:rPr>
            </w:pPr>
            <w:r>
              <w:rPr>
                <w:rFonts w:ascii="Verdana" w:hAnsi="Verdana"/>
              </w:rPr>
              <w:t>95%</w:t>
            </w:r>
          </w:p>
        </w:tc>
        <w:tc>
          <w:tcPr>
            <w:tcW w:w="1418" w:type="dxa"/>
          </w:tcPr>
          <w:p w14:paraId="302B4AB0" w14:textId="4F9DC889" w:rsidR="00C3258E" w:rsidRPr="00EA2CE0" w:rsidRDefault="00C3258E" w:rsidP="00C3258E">
            <w:pPr>
              <w:jc w:val="center"/>
              <w:rPr>
                <w:rFonts w:ascii="Verdana" w:hAnsi="Verdana"/>
              </w:rPr>
            </w:pPr>
            <w:r>
              <w:rPr>
                <w:rFonts w:ascii="Verdana" w:hAnsi="Verdana"/>
              </w:rPr>
              <w:t>88</w:t>
            </w:r>
            <w:r w:rsidRPr="00EA2CE0">
              <w:rPr>
                <w:rFonts w:ascii="Verdana" w:hAnsi="Verdana"/>
              </w:rPr>
              <w:t>%</w:t>
            </w:r>
          </w:p>
          <w:p w14:paraId="39ED4910" w14:textId="6FCAAE9C" w:rsidR="00C3258E" w:rsidRPr="00EA2CE0" w:rsidRDefault="00C3258E" w:rsidP="00C3258E">
            <w:pPr>
              <w:jc w:val="center"/>
              <w:rPr>
                <w:rFonts w:ascii="Verdana" w:hAnsi="Verdana"/>
              </w:rPr>
            </w:pPr>
          </w:p>
        </w:tc>
        <w:tc>
          <w:tcPr>
            <w:tcW w:w="2268" w:type="dxa"/>
          </w:tcPr>
          <w:p w14:paraId="50A85AA6" w14:textId="2228F7DD" w:rsidR="00C3258E" w:rsidRDefault="00C3258E" w:rsidP="00C3258E">
            <w:pPr>
              <w:jc w:val="center"/>
              <w:rPr>
                <w:rFonts w:ascii="Verdana" w:hAnsi="Verdana"/>
              </w:rPr>
            </w:pPr>
          </w:p>
        </w:tc>
      </w:tr>
      <w:tr w:rsidR="00C3258E" w14:paraId="7A1605E3" w14:textId="1DD81857" w:rsidTr="00876574">
        <w:tc>
          <w:tcPr>
            <w:tcW w:w="562" w:type="dxa"/>
          </w:tcPr>
          <w:p w14:paraId="1C76309A" w14:textId="77777777" w:rsidR="00C3258E" w:rsidRDefault="00C3258E" w:rsidP="00C3258E">
            <w:pPr>
              <w:rPr>
                <w:color w:val="FF0000"/>
              </w:rPr>
            </w:pPr>
          </w:p>
        </w:tc>
        <w:tc>
          <w:tcPr>
            <w:tcW w:w="1843" w:type="dxa"/>
          </w:tcPr>
          <w:p w14:paraId="7D333638" w14:textId="0A958BA8" w:rsidR="00C3258E" w:rsidRPr="00EA2CE0" w:rsidRDefault="00C3258E" w:rsidP="00C3258E">
            <w:pPr>
              <w:rPr>
                <w:rFonts w:ascii="Verdana" w:hAnsi="Verdana"/>
              </w:rPr>
            </w:pPr>
          </w:p>
        </w:tc>
        <w:tc>
          <w:tcPr>
            <w:tcW w:w="2126" w:type="dxa"/>
          </w:tcPr>
          <w:p w14:paraId="30B3FDFA" w14:textId="76BD970F" w:rsidR="00C3258E" w:rsidRPr="00EA2CE0" w:rsidRDefault="00C3258E" w:rsidP="00C3258E">
            <w:pPr>
              <w:rPr>
                <w:rFonts w:ascii="Verdana" w:hAnsi="Verdana"/>
              </w:rPr>
            </w:pPr>
            <w:r w:rsidRPr="00EA2CE0">
              <w:rPr>
                <w:rFonts w:ascii="Verdana" w:hAnsi="Verdana"/>
              </w:rPr>
              <w:t>% of all students who could return to the college in the college in 18/19 who do</w:t>
            </w:r>
          </w:p>
        </w:tc>
        <w:tc>
          <w:tcPr>
            <w:tcW w:w="1418" w:type="dxa"/>
          </w:tcPr>
          <w:p w14:paraId="4AED8C37" w14:textId="4453796A" w:rsidR="00C3258E" w:rsidRPr="00EA2CE0" w:rsidRDefault="00C3258E" w:rsidP="00C3258E">
            <w:pPr>
              <w:jc w:val="center"/>
              <w:rPr>
                <w:rFonts w:ascii="Verdana" w:hAnsi="Verdana"/>
              </w:rPr>
            </w:pPr>
            <w:r>
              <w:rPr>
                <w:rFonts w:ascii="Verdana" w:hAnsi="Verdana"/>
              </w:rPr>
              <w:t>90%</w:t>
            </w:r>
          </w:p>
        </w:tc>
        <w:tc>
          <w:tcPr>
            <w:tcW w:w="1418" w:type="dxa"/>
          </w:tcPr>
          <w:p w14:paraId="7410A751" w14:textId="38E1FF35" w:rsidR="00C3258E" w:rsidRPr="00EA2CE0" w:rsidRDefault="00C3258E" w:rsidP="00C3258E">
            <w:pPr>
              <w:jc w:val="center"/>
              <w:rPr>
                <w:rFonts w:ascii="Verdana" w:hAnsi="Verdana"/>
              </w:rPr>
            </w:pPr>
            <w:r>
              <w:rPr>
                <w:rFonts w:ascii="Verdana" w:hAnsi="Verdana"/>
              </w:rPr>
              <w:t>85</w:t>
            </w:r>
            <w:r w:rsidRPr="00EA2CE0">
              <w:rPr>
                <w:rFonts w:ascii="Verdana" w:hAnsi="Verdana"/>
              </w:rPr>
              <w:t>%</w:t>
            </w:r>
          </w:p>
          <w:p w14:paraId="04232E93" w14:textId="4D99803F" w:rsidR="00C3258E" w:rsidRPr="00EA2CE0" w:rsidRDefault="00C3258E" w:rsidP="00C3258E">
            <w:pPr>
              <w:jc w:val="center"/>
              <w:rPr>
                <w:rFonts w:ascii="Verdana" w:hAnsi="Verdana"/>
              </w:rPr>
            </w:pPr>
          </w:p>
        </w:tc>
        <w:tc>
          <w:tcPr>
            <w:tcW w:w="2268" w:type="dxa"/>
          </w:tcPr>
          <w:p w14:paraId="062A82CC" w14:textId="18B99CF3" w:rsidR="00C3258E" w:rsidRDefault="00C3258E" w:rsidP="00C3258E">
            <w:pPr>
              <w:jc w:val="center"/>
              <w:rPr>
                <w:rFonts w:ascii="Verdana" w:hAnsi="Verdana"/>
              </w:rPr>
            </w:pPr>
          </w:p>
        </w:tc>
      </w:tr>
    </w:tbl>
    <w:p w14:paraId="187F4F68" w14:textId="552A9122" w:rsidR="00201552" w:rsidRDefault="00201552" w:rsidP="00626F4B">
      <w:pPr>
        <w:rPr>
          <w:color w:val="FF0000"/>
        </w:rPr>
      </w:pPr>
    </w:p>
    <w:p w14:paraId="5D0EA269" w14:textId="157986EA" w:rsidR="00C3258E" w:rsidRDefault="00C3258E" w:rsidP="00626F4B">
      <w:pPr>
        <w:rPr>
          <w:color w:val="FF0000"/>
        </w:rPr>
      </w:pPr>
    </w:p>
    <w:p w14:paraId="723980A4" w14:textId="23091847" w:rsidR="00C3258E" w:rsidRDefault="00C3258E" w:rsidP="00626F4B">
      <w:pPr>
        <w:rPr>
          <w:color w:val="FF0000"/>
        </w:rPr>
      </w:pPr>
    </w:p>
    <w:p w14:paraId="2EF529A5" w14:textId="0E4B6E38" w:rsidR="00C3258E" w:rsidRDefault="00C3258E" w:rsidP="00626F4B">
      <w:pPr>
        <w:rPr>
          <w:color w:val="FF0000"/>
        </w:rPr>
      </w:pPr>
    </w:p>
    <w:p w14:paraId="7ED0148F" w14:textId="0FB1B753" w:rsidR="00C3258E" w:rsidRDefault="00C3258E" w:rsidP="00626F4B">
      <w:pPr>
        <w:rPr>
          <w:color w:val="FF0000"/>
        </w:rPr>
      </w:pPr>
    </w:p>
    <w:p w14:paraId="2FD2AAEB" w14:textId="3FF3C2F3" w:rsidR="00C3258E" w:rsidRDefault="00C3258E" w:rsidP="00626F4B">
      <w:pPr>
        <w:rPr>
          <w:color w:val="FF0000"/>
        </w:rPr>
      </w:pPr>
    </w:p>
    <w:p w14:paraId="058ACC5B" w14:textId="38CE7E00" w:rsidR="00C3258E" w:rsidRDefault="00C3258E" w:rsidP="00626F4B">
      <w:pPr>
        <w:rPr>
          <w:color w:val="FF0000"/>
        </w:rPr>
      </w:pPr>
    </w:p>
    <w:p w14:paraId="64C48FA7" w14:textId="63C7E8B6" w:rsidR="00C3258E" w:rsidRDefault="00C3258E" w:rsidP="00626F4B">
      <w:pPr>
        <w:rPr>
          <w:color w:val="FF0000"/>
        </w:rPr>
      </w:pPr>
    </w:p>
    <w:p w14:paraId="07376F4E" w14:textId="581C681F" w:rsidR="00C3258E" w:rsidRDefault="00C3258E" w:rsidP="00626F4B">
      <w:pPr>
        <w:rPr>
          <w:color w:val="FF0000"/>
        </w:rPr>
      </w:pPr>
    </w:p>
    <w:p w14:paraId="487AD24D" w14:textId="77777777" w:rsidR="00876574" w:rsidRDefault="0087657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C1EE2" w:rsidRPr="006D35B2" w14:paraId="2DB343E5" w14:textId="77777777" w:rsidTr="00876574">
        <w:tc>
          <w:tcPr>
            <w:tcW w:w="529" w:type="dxa"/>
            <w:shd w:val="clear" w:color="auto" w:fill="auto"/>
            <w:tcMar>
              <w:top w:w="0" w:type="dxa"/>
              <w:left w:w="108" w:type="dxa"/>
              <w:bottom w:w="0" w:type="dxa"/>
              <w:right w:w="108" w:type="dxa"/>
            </w:tcMar>
          </w:tcPr>
          <w:p w14:paraId="37023DEE" w14:textId="7C079494" w:rsidR="006C1EE2" w:rsidRDefault="006C1EE2" w:rsidP="00467367">
            <w:pPr>
              <w:pStyle w:val="NoSpacing"/>
              <w:rPr>
                <w:b/>
              </w:rPr>
            </w:pPr>
          </w:p>
        </w:tc>
        <w:tc>
          <w:tcPr>
            <w:tcW w:w="8935" w:type="dxa"/>
            <w:shd w:val="clear" w:color="auto" w:fill="auto"/>
            <w:tcMar>
              <w:top w:w="0" w:type="dxa"/>
              <w:left w:w="108" w:type="dxa"/>
              <w:bottom w:w="0" w:type="dxa"/>
              <w:right w:w="108" w:type="dxa"/>
            </w:tcMar>
          </w:tcPr>
          <w:p w14:paraId="6ACF4C69" w14:textId="46D3BF8C" w:rsidR="006C1EE2" w:rsidRPr="006D35B2" w:rsidRDefault="00201552" w:rsidP="00467367">
            <w:pPr>
              <w:rPr>
                <w:rFonts w:ascii="Verdana" w:hAnsi="Verdana"/>
              </w:rPr>
            </w:pPr>
            <w:r>
              <w:rPr>
                <w:rFonts w:ascii="Verdana" w:hAnsi="Verdana"/>
              </w:rPr>
              <w:t>The following 2020-21 targets</w:t>
            </w:r>
            <w:r w:rsidR="00C3258E">
              <w:rPr>
                <w:rFonts w:ascii="Verdana" w:hAnsi="Verdana"/>
              </w:rPr>
              <w:t>, incorporating changes agreed under Agendum 7,</w:t>
            </w:r>
            <w:r>
              <w:rPr>
                <w:rFonts w:ascii="Verdana" w:hAnsi="Verdana"/>
              </w:rPr>
              <w:t xml:space="preserve"> were proposed:</w:t>
            </w:r>
          </w:p>
        </w:tc>
      </w:tr>
    </w:tbl>
    <w:p w14:paraId="775ADE4E" w14:textId="02450B5D" w:rsidR="00467367" w:rsidRDefault="00467367" w:rsidP="00626F4B">
      <w:pPr>
        <w:rPr>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843"/>
        <w:gridCol w:w="2126"/>
        <w:gridCol w:w="1418"/>
        <w:gridCol w:w="1417"/>
        <w:gridCol w:w="2127"/>
      </w:tblGrid>
      <w:tr w:rsidR="0084699E" w:rsidRPr="000E6026" w14:paraId="63D1E3E9" w14:textId="77777777" w:rsidTr="00876574">
        <w:tc>
          <w:tcPr>
            <w:tcW w:w="562" w:type="dxa"/>
          </w:tcPr>
          <w:p w14:paraId="3439F408" w14:textId="77777777" w:rsidR="0084699E" w:rsidRDefault="0084699E" w:rsidP="0084699E">
            <w:pPr>
              <w:rPr>
                <w:color w:val="FF0000"/>
              </w:rPr>
            </w:pPr>
          </w:p>
        </w:tc>
        <w:tc>
          <w:tcPr>
            <w:tcW w:w="1843" w:type="dxa"/>
            <w:vAlign w:val="center"/>
          </w:tcPr>
          <w:p w14:paraId="2E539613" w14:textId="77777777" w:rsidR="0084699E" w:rsidRPr="000E6026" w:rsidRDefault="0084699E" w:rsidP="0084699E">
            <w:pPr>
              <w:rPr>
                <w:rFonts w:ascii="Verdana" w:hAnsi="Verdana"/>
              </w:rPr>
            </w:pPr>
            <w:r w:rsidRPr="000E6026">
              <w:rPr>
                <w:rFonts w:ascii="Verdana" w:hAnsi="Verdana"/>
                <w:b/>
              </w:rPr>
              <w:t>Performance Indicator</w:t>
            </w:r>
          </w:p>
        </w:tc>
        <w:tc>
          <w:tcPr>
            <w:tcW w:w="2126" w:type="dxa"/>
            <w:vAlign w:val="center"/>
          </w:tcPr>
          <w:p w14:paraId="57B1261A" w14:textId="77777777" w:rsidR="0084699E" w:rsidRPr="00EC43ED" w:rsidRDefault="0084699E" w:rsidP="0084699E">
            <w:pPr>
              <w:rPr>
                <w:rFonts w:ascii="Verdana" w:hAnsi="Verdana"/>
              </w:rPr>
            </w:pPr>
            <w:r w:rsidRPr="00EC43ED">
              <w:rPr>
                <w:rFonts w:ascii="Verdana" w:hAnsi="Verdana"/>
                <w:b/>
              </w:rPr>
              <w:t>Measure</w:t>
            </w:r>
          </w:p>
        </w:tc>
        <w:tc>
          <w:tcPr>
            <w:tcW w:w="1418" w:type="dxa"/>
            <w:vAlign w:val="center"/>
          </w:tcPr>
          <w:p w14:paraId="48CAACAA" w14:textId="77777777" w:rsidR="0084699E" w:rsidRPr="000E6026" w:rsidRDefault="0084699E" w:rsidP="0084699E">
            <w:pPr>
              <w:jc w:val="center"/>
              <w:rPr>
                <w:rFonts w:ascii="Verdana" w:hAnsi="Verdana"/>
                <w:b/>
              </w:rPr>
            </w:pPr>
            <w:r>
              <w:rPr>
                <w:rFonts w:ascii="Verdana" w:hAnsi="Verdana"/>
                <w:b/>
              </w:rPr>
              <w:t>2019-20</w:t>
            </w:r>
          </w:p>
          <w:p w14:paraId="224EC748" w14:textId="77777777" w:rsidR="0084699E" w:rsidRPr="000E6026" w:rsidRDefault="0084699E" w:rsidP="0084699E">
            <w:pPr>
              <w:jc w:val="center"/>
              <w:rPr>
                <w:rFonts w:ascii="Verdana" w:hAnsi="Verdana"/>
                <w:b/>
              </w:rPr>
            </w:pPr>
            <w:r w:rsidRPr="000E6026">
              <w:rPr>
                <w:rFonts w:ascii="Verdana" w:hAnsi="Verdana"/>
                <w:b/>
              </w:rPr>
              <w:t>Outcome</w:t>
            </w:r>
          </w:p>
          <w:p w14:paraId="288E993D" w14:textId="77777777" w:rsidR="0084699E" w:rsidRDefault="0084699E" w:rsidP="0084699E">
            <w:pPr>
              <w:jc w:val="center"/>
              <w:rPr>
                <w:rFonts w:ascii="Verdana" w:hAnsi="Verdana"/>
                <w:b/>
              </w:rPr>
            </w:pPr>
          </w:p>
        </w:tc>
        <w:tc>
          <w:tcPr>
            <w:tcW w:w="1417" w:type="dxa"/>
            <w:vAlign w:val="center"/>
          </w:tcPr>
          <w:p w14:paraId="420F8D0F" w14:textId="42C9DECE" w:rsidR="0084699E" w:rsidRPr="000E6026" w:rsidRDefault="0084699E" w:rsidP="0084699E">
            <w:pPr>
              <w:jc w:val="center"/>
              <w:rPr>
                <w:rFonts w:ascii="Verdana" w:hAnsi="Verdana"/>
                <w:b/>
              </w:rPr>
            </w:pPr>
            <w:r>
              <w:rPr>
                <w:rFonts w:ascii="Verdana" w:hAnsi="Verdana"/>
                <w:b/>
              </w:rPr>
              <w:t>2020-21</w:t>
            </w:r>
            <w:r w:rsidRPr="000E6026">
              <w:rPr>
                <w:rFonts w:ascii="Verdana" w:hAnsi="Verdana"/>
                <w:b/>
              </w:rPr>
              <w:t xml:space="preserve"> Target</w:t>
            </w:r>
          </w:p>
          <w:p w14:paraId="029620E7" w14:textId="77777777" w:rsidR="0084699E" w:rsidRDefault="0084699E" w:rsidP="0084699E">
            <w:pPr>
              <w:jc w:val="center"/>
              <w:rPr>
                <w:rFonts w:ascii="Verdana" w:hAnsi="Verdana"/>
                <w:b/>
              </w:rPr>
            </w:pPr>
            <w:r w:rsidRPr="000E6026">
              <w:rPr>
                <w:rFonts w:ascii="Verdana" w:hAnsi="Verdana"/>
                <w:b/>
              </w:rPr>
              <w:t>%</w:t>
            </w:r>
          </w:p>
          <w:p w14:paraId="69A35B94" w14:textId="413AA9F0" w:rsidR="00C3258E" w:rsidRDefault="00C3258E" w:rsidP="0084699E">
            <w:pPr>
              <w:jc w:val="center"/>
              <w:rPr>
                <w:rFonts w:ascii="Verdana" w:hAnsi="Verdana"/>
                <w:b/>
              </w:rPr>
            </w:pPr>
          </w:p>
        </w:tc>
        <w:tc>
          <w:tcPr>
            <w:tcW w:w="2127" w:type="dxa"/>
          </w:tcPr>
          <w:p w14:paraId="28EE94DE" w14:textId="77777777" w:rsidR="0084699E" w:rsidRPr="000E6026" w:rsidRDefault="0084699E" w:rsidP="0084699E">
            <w:pPr>
              <w:jc w:val="center"/>
              <w:rPr>
                <w:rFonts w:ascii="Verdana" w:hAnsi="Verdana"/>
                <w:b/>
              </w:rPr>
            </w:pPr>
            <w:r>
              <w:rPr>
                <w:rFonts w:ascii="Verdana" w:hAnsi="Verdana"/>
                <w:b/>
              </w:rPr>
              <w:t>Comments</w:t>
            </w:r>
          </w:p>
        </w:tc>
      </w:tr>
      <w:tr w:rsidR="0084699E" w14:paraId="7B7DBB31" w14:textId="77777777" w:rsidTr="00876574">
        <w:tc>
          <w:tcPr>
            <w:tcW w:w="562" w:type="dxa"/>
          </w:tcPr>
          <w:p w14:paraId="062144A1" w14:textId="77777777" w:rsidR="0084699E" w:rsidRDefault="0084699E" w:rsidP="0084699E">
            <w:pPr>
              <w:rPr>
                <w:color w:val="FF0000"/>
              </w:rPr>
            </w:pPr>
          </w:p>
        </w:tc>
        <w:tc>
          <w:tcPr>
            <w:tcW w:w="1843" w:type="dxa"/>
          </w:tcPr>
          <w:p w14:paraId="455285F1" w14:textId="77777777" w:rsidR="0084699E" w:rsidRPr="00EC43ED" w:rsidRDefault="0084699E" w:rsidP="0084699E">
            <w:pPr>
              <w:rPr>
                <w:rFonts w:ascii="Verdana" w:hAnsi="Verdana"/>
              </w:rPr>
            </w:pPr>
            <w:r w:rsidRPr="00EC43ED">
              <w:rPr>
                <w:rFonts w:ascii="Verdana" w:hAnsi="Verdana"/>
              </w:rPr>
              <w:t>External progression</w:t>
            </w:r>
          </w:p>
        </w:tc>
        <w:tc>
          <w:tcPr>
            <w:tcW w:w="2126" w:type="dxa"/>
          </w:tcPr>
          <w:p w14:paraId="04431301" w14:textId="77777777" w:rsidR="0084699E" w:rsidRPr="00201552" w:rsidRDefault="0084699E" w:rsidP="0084699E">
            <w:pPr>
              <w:rPr>
                <w:rFonts w:ascii="Verdana" w:hAnsi="Verdana"/>
              </w:rPr>
            </w:pPr>
            <w:r w:rsidRPr="00201552">
              <w:rPr>
                <w:rFonts w:ascii="Verdana" w:hAnsi="Verdana"/>
              </w:rPr>
              <w:t>% of applicants progressing successfully to their first choice of HE institution</w:t>
            </w:r>
          </w:p>
          <w:p w14:paraId="54DE7DC2" w14:textId="77777777" w:rsidR="0084699E" w:rsidRPr="00EC43ED" w:rsidRDefault="0084699E" w:rsidP="0084699E">
            <w:pPr>
              <w:rPr>
                <w:rFonts w:ascii="Verdana" w:hAnsi="Verdana"/>
              </w:rPr>
            </w:pPr>
          </w:p>
        </w:tc>
        <w:tc>
          <w:tcPr>
            <w:tcW w:w="1418" w:type="dxa"/>
          </w:tcPr>
          <w:p w14:paraId="63B61C7B" w14:textId="433FE09C" w:rsidR="0084699E" w:rsidRDefault="0084699E" w:rsidP="0084699E">
            <w:pPr>
              <w:jc w:val="center"/>
              <w:rPr>
                <w:rFonts w:ascii="Verdana" w:hAnsi="Verdana"/>
              </w:rPr>
            </w:pPr>
            <w:r>
              <w:rPr>
                <w:rFonts w:ascii="Verdana" w:hAnsi="Verdana"/>
              </w:rPr>
              <w:t>n/a</w:t>
            </w:r>
          </w:p>
        </w:tc>
        <w:tc>
          <w:tcPr>
            <w:tcW w:w="1417" w:type="dxa"/>
          </w:tcPr>
          <w:p w14:paraId="768B65F2" w14:textId="51E29BD1" w:rsidR="0084699E" w:rsidRDefault="0084699E" w:rsidP="0084699E">
            <w:pPr>
              <w:jc w:val="center"/>
              <w:rPr>
                <w:rFonts w:ascii="Verdana" w:hAnsi="Verdana"/>
              </w:rPr>
            </w:pPr>
            <w:r>
              <w:rPr>
                <w:rFonts w:ascii="Verdana" w:hAnsi="Verdana"/>
              </w:rPr>
              <w:t>70%</w:t>
            </w:r>
          </w:p>
        </w:tc>
        <w:tc>
          <w:tcPr>
            <w:tcW w:w="2127" w:type="dxa"/>
          </w:tcPr>
          <w:p w14:paraId="24B62A33" w14:textId="1E78FAEA" w:rsidR="0084699E" w:rsidRDefault="0084699E" w:rsidP="0084699E">
            <w:pPr>
              <w:jc w:val="center"/>
              <w:rPr>
                <w:rFonts w:ascii="Verdana" w:hAnsi="Verdana"/>
              </w:rPr>
            </w:pPr>
          </w:p>
        </w:tc>
      </w:tr>
      <w:tr w:rsidR="0084699E" w14:paraId="5F28DFA5" w14:textId="77777777" w:rsidTr="00876574">
        <w:tc>
          <w:tcPr>
            <w:tcW w:w="562" w:type="dxa"/>
          </w:tcPr>
          <w:p w14:paraId="218350BF" w14:textId="77777777" w:rsidR="0084699E" w:rsidRDefault="0084699E" w:rsidP="0084699E">
            <w:pPr>
              <w:rPr>
                <w:color w:val="FF0000"/>
              </w:rPr>
            </w:pPr>
          </w:p>
        </w:tc>
        <w:tc>
          <w:tcPr>
            <w:tcW w:w="1843" w:type="dxa"/>
          </w:tcPr>
          <w:p w14:paraId="45BD724C" w14:textId="77777777" w:rsidR="0084699E" w:rsidRPr="000E6026" w:rsidRDefault="0084699E" w:rsidP="0084699E">
            <w:pPr>
              <w:rPr>
                <w:rFonts w:ascii="Verdana" w:hAnsi="Verdana"/>
              </w:rPr>
            </w:pPr>
          </w:p>
        </w:tc>
        <w:tc>
          <w:tcPr>
            <w:tcW w:w="2126" w:type="dxa"/>
          </w:tcPr>
          <w:p w14:paraId="0FD6AF52" w14:textId="77777777" w:rsidR="0084699E" w:rsidRDefault="0084699E" w:rsidP="0084699E">
            <w:pPr>
              <w:rPr>
                <w:rFonts w:ascii="Verdana" w:hAnsi="Verdana"/>
              </w:rPr>
            </w:pPr>
            <w:r w:rsidRPr="00EC43ED">
              <w:rPr>
                <w:rFonts w:ascii="Verdana" w:hAnsi="Verdana"/>
              </w:rPr>
              <w:t>% of students progressing to employment, apprenticeship and HE in a related sector</w:t>
            </w:r>
          </w:p>
          <w:p w14:paraId="3A108ADF" w14:textId="77777777" w:rsidR="0084699E" w:rsidRPr="00EC43ED" w:rsidRDefault="0084699E" w:rsidP="0084699E">
            <w:pPr>
              <w:rPr>
                <w:rFonts w:ascii="Verdana" w:hAnsi="Verdana"/>
              </w:rPr>
            </w:pPr>
          </w:p>
        </w:tc>
        <w:tc>
          <w:tcPr>
            <w:tcW w:w="1418" w:type="dxa"/>
          </w:tcPr>
          <w:p w14:paraId="53A4867E" w14:textId="04989725" w:rsidR="0084699E" w:rsidRDefault="0084699E" w:rsidP="0084699E">
            <w:pPr>
              <w:jc w:val="center"/>
              <w:rPr>
                <w:rFonts w:ascii="Verdana" w:hAnsi="Verdana"/>
              </w:rPr>
            </w:pPr>
            <w:r>
              <w:rPr>
                <w:rFonts w:ascii="Verdana" w:hAnsi="Verdana"/>
              </w:rPr>
              <w:t>n/a</w:t>
            </w:r>
          </w:p>
        </w:tc>
        <w:tc>
          <w:tcPr>
            <w:tcW w:w="1417" w:type="dxa"/>
          </w:tcPr>
          <w:p w14:paraId="27AC5BB0" w14:textId="5B703DB4" w:rsidR="0084699E" w:rsidRDefault="0084699E" w:rsidP="0084699E">
            <w:pPr>
              <w:jc w:val="center"/>
              <w:rPr>
                <w:rFonts w:ascii="Verdana" w:hAnsi="Verdana"/>
              </w:rPr>
            </w:pPr>
            <w:r>
              <w:rPr>
                <w:rFonts w:ascii="Verdana" w:hAnsi="Verdana"/>
              </w:rPr>
              <w:t>90%</w:t>
            </w:r>
          </w:p>
        </w:tc>
        <w:tc>
          <w:tcPr>
            <w:tcW w:w="2127" w:type="dxa"/>
          </w:tcPr>
          <w:p w14:paraId="13CA9E55" w14:textId="223EAB9E" w:rsidR="0084699E" w:rsidRDefault="0084699E" w:rsidP="0084699E">
            <w:pPr>
              <w:jc w:val="center"/>
              <w:rPr>
                <w:rFonts w:ascii="Verdana" w:hAnsi="Verdana"/>
              </w:rPr>
            </w:pPr>
          </w:p>
        </w:tc>
      </w:tr>
      <w:tr w:rsidR="0084699E" w14:paraId="6FC57E5D" w14:textId="77777777" w:rsidTr="00876574">
        <w:tc>
          <w:tcPr>
            <w:tcW w:w="562" w:type="dxa"/>
          </w:tcPr>
          <w:p w14:paraId="3E18A2B2" w14:textId="77777777" w:rsidR="0084699E" w:rsidRDefault="0084699E" w:rsidP="0084699E">
            <w:pPr>
              <w:rPr>
                <w:color w:val="FF0000"/>
              </w:rPr>
            </w:pPr>
          </w:p>
        </w:tc>
        <w:tc>
          <w:tcPr>
            <w:tcW w:w="1843" w:type="dxa"/>
          </w:tcPr>
          <w:p w14:paraId="522653C4" w14:textId="77777777" w:rsidR="0084699E" w:rsidRPr="000E6026" w:rsidRDefault="0084699E" w:rsidP="0084699E">
            <w:pPr>
              <w:rPr>
                <w:rFonts w:ascii="Verdana" w:hAnsi="Verdana"/>
              </w:rPr>
            </w:pPr>
          </w:p>
        </w:tc>
        <w:tc>
          <w:tcPr>
            <w:tcW w:w="2126" w:type="dxa"/>
          </w:tcPr>
          <w:p w14:paraId="23685C86" w14:textId="77777777" w:rsidR="0084699E" w:rsidRDefault="0084699E" w:rsidP="0084699E">
            <w:pPr>
              <w:rPr>
                <w:rFonts w:ascii="Verdana" w:hAnsi="Verdana"/>
              </w:rPr>
            </w:pPr>
            <w:r w:rsidRPr="00EC43ED">
              <w:rPr>
                <w:rFonts w:ascii="Verdana" w:hAnsi="Verdana"/>
              </w:rPr>
              <w:t>% of students progressing to Russell group out of those who progressed to HE</w:t>
            </w:r>
          </w:p>
          <w:p w14:paraId="75B23DBE" w14:textId="2F729010" w:rsidR="004D3EBF" w:rsidRPr="00EC43ED" w:rsidRDefault="004D3EBF" w:rsidP="0084699E">
            <w:pPr>
              <w:rPr>
                <w:rFonts w:ascii="Verdana" w:hAnsi="Verdana"/>
              </w:rPr>
            </w:pPr>
          </w:p>
        </w:tc>
        <w:tc>
          <w:tcPr>
            <w:tcW w:w="1418" w:type="dxa"/>
          </w:tcPr>
          <w:p w14:paraId="5F29A2B5" w14:textId="6CEB0B14" w:rsidR="0084699E" w:rsidRDefault="0084699E" w:rsidP="0084699E">
            <w:pPr>
              <w:jc w:val="center"/>
              <w:rPr>
                <w:rFonts w:ascii="Verdana" w:hAnsi="Verdana"/>
              </w:rPr>
            </w:pPr>
            <w:r>
              <w:rPr>
                <w:rFonts w:ascii="Verdana" w:hAnsi="Verdana"/>
              </w:rPr>
              <w:t>n/a</w:t>
            </w:r>
          </w:p>
        </w:tc>
        <w:tc>
          <w:tcPr>
            <w:tcW w:w="1417" w:type="dxa"/>
          </w:tcPr>
          <w:p w14:paraId="51F7A3A6" w14:textId="1031AC4B" w:rsidR="0084699E" w:rsidRDefault="0084699E" w:rsidP="0084699E">
            <w:pPr>
              <w:jc w:val="center"/>
              <w:rPr>
                <w:rFonts w:ascii="Verdana" w:hAnsi="Verdana"/>
              </w:rPr>
            </w:pPr>
            <w:r>
              <w:rPr>
                <w:rFonts w:ascii="Verdana" w:hAnsi="Verdana"/>
              </w:rPr>
              <w:t>12%</w:t>
            </w:r>
          </w:p>
        </w:tc>
        <w:tc>
          <w:tcPr>
            <w:tcW w:w="2127" w:type="dxa"/>
          </w:tcPr>
          <w:p w14:paraId="5E8D5A13" w14:textId="594A803F" w:rsidR="0084699E" w:rsidRDefault="0084699E" w:rsidP="0084699E">
            <w:pPr>
              <w:jc w:val="center"/>
              <w:rPr>
                <w:rFonts w:ascii="Verdana" w:hAnsi="Verdana"/>
              </w:rPr>
            </w:pPr>
          </w:p>
        </w:tc>
      </w:tr>
      <w:tr w:rsidR="00C3258E" w:rsidRPr="00734AAC" w14:paraId="14A2F5DF" w14:textId="77777777" w:rsidTr="00876574">
        <w:tc>
          <w:tcPr>
            <w:tcW w:w="562" w:type="dxa"/>
          </w:tcPr>
          <w:p w14:paraId="068DB278" w14:textId="77777777" w:rsidR="00C3258E" w:rsidRDefault="00C3258E" w:rsidP="00C3258E">
            <w:pPr>
              <w:rPr>
                <w:color w:val="FF0000"/>
              </w:rPr>
            </w:pPr>
          </w:p>
        </w:tc>
        <w:tc>
          <w:tcPr>
            <w:tcW w:w="1843" w:type="dxa"/>
          </w:tcPr>
          <w:p w14:paraId="050462AA" w14:textId="2BEC52F6" w:rsidR="00C3258E" w:rsidRPr="000E6026" w:rsidRDefault="00C3258E" w:rsidP="00C3258E">
            <w:pPr>
              <w:rPr>
                <w:rFonts w:ascii="Verdana" w:hAnsi="Verdana"/>
                <w:color w:val="FF0000"/>
              </w:rPr>
            </w:pPr>
            <w:r w:rsidRPr="000E6026">
              <w:rPr>
                <w:rFonts w:ascii="Verdana" w:hAnsi="Verdana"/>
              </w:rPr>
              <w:t>Work experience</w:t>
            </w:r>
          </w:p>
        </w:tc>
        <w:tc>
          <w:tcPr>
            <w:tcW w:w="2126" w:type="dxa"/>
          </w:tcPr>
          <w:p w14:paraId="24377D63" w14:textId="77777777" w:rsidR="00C3258E" w:rsidRDefault="00C3258E" w:rsidP="00C3258E">
            <w:pPr>
              <w:rPr>
                <w:rFonts w:ascii="Verdana" w:hAnsi="Verdana"/>
                <w:color w:val="FF0000"/>
              </w:rPr>
            </w:pPr>
            <w:r w:rsidRPr="0084699E">
              <w:rPr>
                <w:rFonts w:ascii="Verdana" w:hAnsi="Verdana"/>
              </w:rPr>
              <w:t>% of all students undertaking either a work experience placement or a work experience project (temporary change to KPI due to impact of Covid-19).</w:t>
            </w:r>
            <w:r w:rsidRPr="0084699E">
              <w:rPr>
                <w:rFonts w:ascii="Verdana" w:hAnsi="Verdana"/>
                <w:color w:val="FF0000"/>
              </w:rPr>
              <w:t xml:space="preserve"> </w:t>
            </w:r>
          </w:p>
          <w:p w14:paraId="7FD20685" w14:textId="77777777" w:rsidR="00C3258E" w:rsidRDefault="00C3258E" w:rsidP="00C3258E">
            <w:pPr>
              <w:rPr>
                <w:rFonts w:ascii="Verdana" w:hAnsi="Verdana"/>
                <w:color w:val="FF0000"/>
              </w:rPr>
            </w:pPr>
          </w:p>
          <w:p w14:paraId="37510810" w14:textId="77777777" w:rsidR="00C3258E" w:rsidRDefault="00C3258E" w:rsidP="00C3258E">
            <w:pPr>
              <w:rPr>
                <w:rFonts w:ascii="Verdana" w:hAnsi="Verdana"/>
              </w:rPr>
            </w:pPr>
            <w:r w:rsidRPr="00EC43ED">
              <w:rPr>
                <w:rFonts w:ascii="Verdana" w:hAnsi="Verdana"/>
              </w:rPr>
              <w:t>% of L2 &amp; L3 Voc. students undertaking work experience</w:t>
            </w:r>
            <w:r>
              <w:rPr>
                <w:rFonts w:ascii="Verdana" w:hAnsi="Verdana"/>
              </w:rPr>
              <w:t xml:space="preserve"> placement. KPI kept to ease year on year reporting</w:t>
            </w:r>
          </w:p>
          <w:p w14:paraId="3AAF2F72" w14:textId="77777777" w:rsidR="00C3258E" w:rsidRDefault="00C3258E" w:rsidP="00C3258E">
            <w:pPr>
              <w:rPr>
                <w:rFonts w:ascii="Verdana" w:hAnsi="Verdana"/>
                <w:color w:val="FF0000"/>
              </w:rPr>
            </w:pPr>
          </w:p>
          <w:p w14:paraId="4E3F4C86" w14:textId="77777777" w:rsidR="00C3258E" w:rsidRDefault="00C3258E" w:rsidP="00C3258E">
            <w:pPr>
              <w:rPr>
                <w:rFonts w:ascii="Verdana" w:hAnsi="Verdana"/>
                <w:color w:val="FF0000"/>
              </w:rPr>
            </w:pPr>
          </w:p>
          <w:p w14:paraId="387BFF04" w14:textId="77777777" w:rsidR="00C3258E" w:rsidRDefault="00C3258E" w:rsidP="00C3258E">
            <w:pPr>
              <w:rPr>
                <w:rFonts w:ascii="Verdana" w:hAnsi="Verdana"/>
                <w:color w:val="FF0000"/>
              </w:rPr>
            </w:pPr>
          </w:p>
          <w:p w14:paraId="10E7ECBC" w14:textId="77777777" w:rsidR="00C3258E" w:rsidRDefault="00C3258E" w:rsidP="00C3258E">
            <w:pPr>
              <w:rPr>
                <w:rFonts w:ascii="Verdana" w:hAnsi="Verdana"/>
                <w:color w:val="FF0000"/>
              </w:rPr>
            </w:pPr>
          </w:p>
          <w:p w14:paraId="6DA3B802" w14:textId="07F303DD" w:rsidR="00C3258E" w:rsidRPr="0084699E" w:rsidRDefault="00C3258E" w:rsidP="00C3258E">
            <w:pPr>
              <w:rPr>
                <w:rFonts w:ascii="Verdana" w:hAnsi="Verdana"/>
                <w:color w:val="FF0000"/>
              </w:rPr>
            </w:pPr>
          </w:p>
        </w:tc>
        <w:tc>
          <w:tcPr>
            <w:tcW w:w="1418" w:type="dxa"/>
          </w:tcPr>
          <w:p w14:paraId="5ED4FE9F" w14:textId="77777777" w:rsidR="00C3258E" w:rsidRDefault="00C3258E" w:rsidP="00C3258E">
            <w:pPr>
              <w:jc w:val="center"/>
              <w:rPr>
                <w:rFonts w:ascii="Verdana" w:hAnsi="Verdana"/>
              </w:rPr>
            </w:pPr>
            <w:r>
              <w:rPr>
                <w:rFonts w:ascii="Verdana" w:hAnsi="Verdana"/>
              </w:rPr>
              <w:t>57%</w:t>
            </w:r>
          </w:p>
          <w:p w14:paraId="2C390F07" w14:textId="77777777" w:rsidR="00C3258E" w:rsidRDefault="00C3258E" w:rsidP="00C3258E">
            <w:pPr>
              <w:jc w:val="center"/>
              <w:rPr>
                <w:rFonts w:ascii="Verdana" w:hAnsi="Verdana"/>
              </w:rPr>
            </w:pPr>
          </w:p>
          <w:p w14:paraId="24023D49" w14:textId="77777777" w:rsidR="00C3258E" w:rsidRDefault="00C3258E" w:rsidP="00C3258E">
            <w:pPr>
              <w:jc w:val="center"/>
              <w:rPr>
                <w:rFonts w:ascii="Verdana" w:hAnsi="Verdana"/>
              </w:rPr>
            </w:pPr>
          </w:p>
          <w:p w14:paraId="04F5E6C6" w14:textId="77777777" w:rsidR="00C3258E" w:rsidRDefault="00C3258E" w:rsidP="00C3258E">
            <w:pPr>
              <w:jc w:val="center"/>
              <w:rPr>
                <w:rFonts w:ascii="Verdana" w:hAnsi="Verdana"/>
              </w:rPr>
            </w:pPr>
          </w:p>
          <w:p w14:paraId="68A2F7D1" w14:textId="77777777" w:rsidR="00C3258E" w:rsidRDefault="00C3258E" w:rsidP="00C3258E">
            <w:pPr>
              <w:jc w:val="center"/>
              <w:rPr>
                <w:rFonts w:ascii="Verdana" w:hAnsi="Verdana"/>
              </w:rPr>
            </w:pPr>
          </w:p>
          <w:p w14:paraId="4F0A0E7A" w14:textId="77777777" w:rsidR="00C3258E" w:rsidRDefault="00C3258E" w:rsidP="00C3258E">
            <w:pPr>
              <w:jc w:val="center"/>
              <w:rPr>
                <w:rFonts w:ascii="Verdana" w:hAnsi="Verdana"/>
              </w:rPr>
            </w:pPr>
          </w:p>
          <w:p w14:paraId="4FDA3A55" w14:textId="77777777" w:rsidR="00C3258E" w:rsidRDefault="00C3258E" w:rsidP="00C3258E">
            <w:pPr>
              <w:jc w:val="center"/>
              <w:rPr>
                <w:rFonts w:ascii="Verdana" w:hAnsi="Verdana"/>
              </w:rPr>
            </w:pPr>
          </w:p>
          <w:p w14:paraId="01FCAAD2" w14:textId="77777777" w:rsidR="00C3258E" w:rsidRDefault="00C3258E" w:rsidP="00C3258E">
            <w:pPr>
              <w:jc w:val="center"/>
              <w:rPr>
                <w:rFonts w:ascii="Verdana" w:hAnsi="Verdana"/>
              </w:rPr>
            </w:pPr>
          </w:p>
          <w:p w14:paraId="5531E8E5" w14:textId="77777777" w:rsidR="00C3258E" w:rsidRDefault="00C3258E" w:rsidP="00C3258E">
            <w:pPr>
              <w:jc w:val="center"/>
              <w:rPr>
                <w:rFonts w:ascii="Verdana" w:hAnsi="Verdana"/>
              </w:rPr>
            </w:pPr>
          </w:p>
          <w:p w14:paraId="76C07248" w14:textId="77777777" w:rsidR="00C3258E" w:rsidRDefault="00C3258E" w:rsidP="00C3258E">
            <w:pPr>
              <w:jc w:val="center"/>
              <w:rPr>
                <w:rFonts w:ascii="Verdana" w:hAnsi="Verdana"/>
              </w:rPr>
            </w:pPr>
          </w:p>
          <w:p w14:paraId="4FED23E0" w14:textId="77777777" w:rsidR="00C3258E" w:rsidRDefault="00C3258E" w:rsidP="00C3258E">
            <w:pPr>
              <w:jc w:val="center"/>
              <w:rPr>
                <w:rFonts w:ascii="Verdana" w:hAnsi="Verdana"/>
              </w:rPr>
            </w:pPr>
          </w:p>
          <w:p w14:paraId="57861B9F" w14:textId="77777777" w:rsidR="00C3258E" w:rsidRDefault="00C3258E" w:rsidP="00C3258E">
            <w:pPr>
              <w:jc w:val="center"/>
              <w:rPr>
                <w:rFonts w:ascii="Verdana" w:hAnsi="Verdana"/>
              </w:rPr>
            </w:pPr>
          </w:p>
          <w:p w14:paraId="59AD0072" w14:textId="4EDE7508" w:rsidR="00C3258E" w:rsidRDefault="00C3258E" w:rsidP="00C3258E">
            <w:pPr>
              <w:jc w:val="center"/>
              <w:rPr>
                <w:rFonts w:ascii="Verdana" w:hAnsi="Verdana"/>
              </w:rPr>
            </w:pPr>
            <w:r>
              <w:rPr>
                <w:rFonts w:ascii="Verdana" w:hAnsi="Verdana"/>
              </w:rPr>
              <w:t>57%</w:t>
            </w:r>
          </w:p>
        </w:tc>
        <w:tc>
          <w:tcPr>
            <w:tcW w:w="1417" w:type="dxa"/>
          </w:tcPr>
          <w:p w14:paraId="7BA04CD4" w14:textId="77777777" w:rsidR="00C3258E" w:rsidRDefault="00C3258E" w:rsidP="00C3258E">
            <w:pPr>
              <w:jc w:val="center"/>
              <w:rPr>
                <w:rFonts w:ascii="Verdana" w:hAnsi="Verdana"/>
              </w:rPr>
            </w:pPr>
            <w:r>
              <w:rPr>
                <w:rFonts w:ascii="Verdana" w:hAnsi="Verdana"/>
              </w:rPr>
              <w:t>8</w:t>
            </w:r>
            <w:r w:rsidRPr="00734AAC">
              <w:rPr>
                <w:rFonts w:ascii="Verdana" w:hAnsi="Verdana"/>
              </w:rPr>
              <w:t>0%</w:t>
            </w:r>
          </w:p>
          <w:p w14:paraId="4FB05621" w14:textId="77777777" w:rsidR="00C3258E" w:rsidRDefault="00C3258E" w:rsidP="00C3258E">
            <w:pPr>
              <w:jc w:val="center"/>
              <w:rPr>
                <w:rFonts w:ascii="Verdana" w:hAnsi="Verdana"/>
              </w:rPr>
            </w:pPr>
          </w:p>
          <w:p w14:paraId="3AE5063B" w14:textId="77777777" w:rsidR="00C3258E" w:rsidRDefault="00C3258E" w:rsidP="00C3258E">
            <w:pPr>
              <w:jc w:val="center"/>
              <w:rPr>
                <w:rFonts w:ascii="Verdana" w:hAnsi="Verdana"/>
              </w:rPr>
            </w:pPr>
          </w:p>
          <w:p w14:paraId="7F2CE1E4" w14:textId="77777777" w:rsidR="00C3258E" w:rsidRDefault="00C3258E" w:rsidP="00C3258E">
            <w:pPr>
              <w:jc w:val="center"/>
              <w:rPr>
                <w:rFonts w:ascii="Verdana" w:hAnsi="Verdana"/>
              </w:rPr>
            </w:pPr>
          </w:p>
          <w:p w14:paraId="77E2ED92" w14:textId="77777777" w:rsidR="00C3258E" w:rsidRDefault="00C3258E" w:rsidP="00C3258E">
            <w:pPr>
              <w:jc w:val="center"/>
              <w:rPr>
                <w:rFonts w:ascii="Verdana" w:hAnsi="Verdana"/>
              </w:rPr>
            </w:pPr>
          </w:p>
          <w:p w14:paraId="57C10315" w14:textId="77777777" w:rsidR="00C3258E" w:rsidRDefault="00C3258E" w:rsidP="00C3258E">
            <w:pPr>
              <w:jc w:val="center"/>
              <w:rPr>
                <w:rFonts w:ascii="Verdana" w:hAnsi="Verdana"/>
              </w:rPr>
            </w:pPr>
          </w:p>
          <w:p w14:paraId="22A01F03" w14:textId="77777777" w:rsidR="00C3258E" w:rsidRDefault="00C3258E" w:rsidP="00C3258E">
            <w:pPr>
              <w:jc w:val="center"/>
              <w:rPr>
                <w:rFonts w:ascii="Verdana" w:hAnsi="Verdana"/>
              </w:rPr>
            </w:pPr>
          </w:p>
          <w:p w14:paraId="73D27C85" w14:textId="77777777" w:rsidR="00C3258E" w:rsidRDefault="00C3258E" w:rsidP="00C3258E">
            <w:pPr>
              <w:jc w:val="center"/>
              <w:rPr>
                <w:rFonts w:ascii="Verdana" w:hAnsi="Verdana"/>
              </w:rPr>
            </w:pPr>
          </w:p>
          <w:p w14:paraId="6CFFF0A0" w14:textId="77777777" w:rsidR="00C3258E" w:rsidRDefault="00C3258E" w:rsidP="00C3258E">
            <w:pPr>
              <w:jc w:val="center"/>
              <w:rPr>
                <w:rFonts w:ascii="Verdana" w:hAnsi="Verdana"/>
              </w:rPr>
            </w:pPr>
          </w:p>
          <w:p w14:paraId="31BF2323" w14:textId="77777777" w:rsidR="00C3258E" w:rsidRDefault="00C3258E" w:rsidP="00C3258E">
            <w:pPr>
              <w:jc w:val="center"/>
              <w:rPr>
                <w:rFonts w:ascii="Verdana" w:hAnsi="Verdana"/>
              </w:rPr>
            </w:pPr>
          </w:p>
          <w:p w14:paraId="0CB3B6AE" w14:textId="77777777" w:rsidR="00C3258E" w:rsidRDefault="00C3258E" w:rsidP="00C3258E">
            <w:pPr>
              <w:jc w:val="center"/>
              <w:rPr>
                <w:rFonts w:ascii="Verdana" w:hAnsi="Verdana"/>
              </w:rPr>
            </w:pPr>
          </w:p>
          <w:p w14:paraId="6573F731" w14:textId="77777777" w:rsidR="00C3258E" w:rsidRDefault="00C3258E" w:rsidP="00C3258E">
            <w:pPr>
              <w:jc w:val="center"/>
              <w:rPr>
                <w:rFonts w:ascii="Verdana" w:hAnsi="Verdana"/>
              </w:rPr>
            </w:pPr>
          </w:p>
          <w:p w14:paraId="3CD722E8" w14:textId="2CDF05AB" w:rsidR="00C3258E" w:rsidRDefault="00C3258E" w:rsidP="00C3258E">
            <w:pPr>
              <w:jc w:val="center"/>
              <w:rPr>
                <w:rFonts w:ascii="Verdana" w:hAnsi="Verdana"/>
              </w:rPr>
            </w:pPr>
            <w:r>
              <w:rPr>
                <w:rFonts w:ascii="Verdana" w:hAnsi="Verdana"/>
              </w:rPr>
              <w:t>80%</w:t>
            </w:r>
          </w:p>
        </w:tc>
        <w:tc>
          <w:tcPr>
            <w:tcW w:w="2127" w:type="dxa"/>
          </w:tcPr>
          <w:p w14:paraId="0D9E800C" w14:textId="47CB951F" w:rsidR="00C3258E" w:rsidRPr="0084699E" w:rsidRDefault="00C3258E" w:rsidP="00C3258E">
            <w:pPr>
              <w:jc w:val="center"/>
              <w:rPr>
                <w:rFonts w:ascii="Verdana" w:hAnsi="Verdana"/>
              </w:rPr>
            </w:pPr>
            <w:r w:rsidRPr="0084699E">
              <w:rPr>
                <w:rFonts w:ascii="Verdana" w:hAnsi="Verdana"/>
              </w:rPr>
              <w:t>2019-20 outcome relates to L2 &amp; L3 Voc. Students</w:t>
            </w:r>
            <w:r>
              <w:rPr>
                <w:rFonts w:ascii="Verdana" w:hAnsi="Verdana"/>
              </w:rPr>
              <w:t xml:space="preserve"> only.</w:t>
            </w:r>
          </w:p>
        </w:tc>
      </w:tr>
      <w:tr w:rsidR="00C3258E" w:rsidRPr="00ED573D" w14:paraId="082FA07E" w14:textId="77777777" w:rsidTr="00876574">
        <w:tc>
          <w:tcPr>
            <w:tcW w:w="562" w:type="dxa"/>
          </w:tcPr>
          <w:p w14:paraId="74893F53" w14:textId="77777777" w:rsidR="00C3258E" w:rsidRDefault="00C3258E" w:rsidP="00C3258E">
            <w:pPr>
              <w:rPr>
                <w:color w:val="FF0000"/>
              </w:rPr>
            </w:pPr>
          </w:p>
        </w:tc>
        <w:tc>
          <w:tcPr>
            <w:tcW w:w="1843" w:type="dxa"/>
            <w:vAlign w:val="center"/>
          </w:tcPr>
          <w:p w14:paraId="504F4258" w14:textId="245E1F2A" w:rsidR="00C3258E" w:rsidRPr="00096C79" w:rsidRDefault="00C3258E" w:rsidP="00C3258E">
            <w:pPr>
              <w:rPr>
                <w:rFonts w:ascii="Verdana" w:hAnsi="Verdana"/>
              </w:rPr>
            </w:pPr>
            <w:r w:rsidRPr="000E6026">
              <w:rPr>
                <w:rFonts w:ascii="Verdana" w:hAnsi="Verdana"/>
                <w:b/>
              </w:rPr>
              <w:t>Performance Indicator</w:t>
            </w:r>
          </w:p>
        </w:tc>
        <w:tc>
          <w:tcPr>
            <w:tcW w:w="2126" w:type="dxa"/>
            <w:vAlign w:val="center"/>
          </w:tcPr>
          <w:p w14:paraId="0BB11917" w14:textId="49DE470E" w:rsidR="00C3258E" w:rsidRPr="00096C79" w:rsidRDefault="00C3258E" w:rsidP="00C3258E">
            <w:pPr>
              <w:rPr>
                <w:rFonts w:ascii="Verdana" w:hAnsi="Verdana"/>
              </w:rPr>
            </w:pPr>
            <w:r w:rsidRPr="00EC43ED">
              <w:rPr>
                <w:rFonts w:ascii="Verdana" w:hAnsi="Verdana"/>
                <w:b/>
              </w:rPr>
              <w:t>Measure</w:t>
            </w:r>
          </w:p>
        </w:tc>
        <w:tc>
          <w:tcPr>
            <w:tcW w:w="1418" w:type="dxa"/>
            <w:vAlign w:val="center"/>
          </w:tcPr>
          <w:p w14:paraId="6F58B1C9" w14:textId="77777777" w:rsidR="00C3258E" w:rsidRPr="000E6026" w:rsidRDefault="00C3258E" w:rsidP="00C3258E">
            <w:pPr>
              <w:jc w:val="center"/>
              <w:rPr>
                <w:rFonts w:ascii="Verdana" w:hAnsi="Verdana"/>
                <w:b/>
              </w:rPr>
            </w:pPr>
            <w:r>
              <w:rPr>
                <w:rFonts w:ascii="Verdana" w:hAnsi="Verdana"/>
                <w:b/>
              </w:rPr>
              <w:t>2019-20</w:t>
            </w:r>
          </w:p>
          <w:p w14:paraId="38A953B9" w14:textId="77777777" w:rsidR="00C3258E" w:rsidRPr="000E6026" w:rsidRDefault="00C3258E" w:rsidP="00C3258E">
            <w:pPr>
              <w:jc w:val="center"/>
              <w:rPr>
                <w:rFonts w:ascii="Verdana" w:hAnsi="Verdana"/>
                <w:b/>
              </w:rPr>
            </w:pPr>
            <w:r w:rsidRPr="000E6026">
              <w:rPr>
                <w:rFonts w:ascii="Verdana" w:hAnsi="Verdana"/>
                <w:b/>
              </w:rPr>
              <w:t>Outcome</w:t>
            </w:r>
          </w:p>
          <w:p w14:paraId="241C4925" w14:textId="77777777" w:rsidR="00C3258E" w:rsidRPr="00096C79" w:rsidRDefault="00C3258E" w:rsidP="00C3258E">
            <w:pPr>
              <w:jc w:val="center"/>
              <w:rPr>
                <w:rFonts w:ascii="Verdana" w:hAnsi="Verdana"/>
              </w:rPr>
            </w:pPr>
          </w:p>
        </w:tc>
        <w:tc>
          <w:tcPr>
            <w:tcW w:w="1417" w:type="dxa"/>
            <w:vAlign w:val="center"/>
          </w:tcPr>
          <w:p w14:paraId="52FDA2AB" w14:textId="77777777" w:rsidR="00C3258E" w:rsidRPr="000E6026" w:rsidRDefault="00C3258E" w:rsidP="00C3258E">
            <w:pPr>
              <w:jc w:val="center"/>
              <w:rPr>
                <w:rFonts w:ascii="Verdana" w:hAnsi="Verdana"/>
                <w:b/>
              </w:rPr>
            </w:pPr>
            <w:r>
              <w:rPr>
                <w:rFonts w:ascii="Verdana" w:hAnsi="Verdana"/>
                <w:b/>
              </w:rPr>
              <w:t>2020-21</w:t>
            </w:r>
            <w:r w:rsidRPr="000E6026">
              <w:rPr>
                <w:rFonts w:ascii="Verdana" w:hAnsi="Verdana"/>
                <w:b/>
              </w:rPr>
              <w:t xml:space="preserve"> Target</w:t>
            </w:r>
          </w:p>
          <w:p w14:paraId="67565861" w14:textId="77777777" w:rsidR="00C3258E" w:rsidRDefault="00C3258E" w:rsidP="00C3258E">
            <w:pPr>
              <w:jc w:val="center"/>
              <w:rPr>
                <w:rFonts w:ascii="Verdana" w:hAnsi="Verdana"/>
                <w:b/>
              </w:rPr>
            </w:pPr>
            <w:r w:rsidRPr="000E6026">
              <w:rPr>
                <w:rFonts w:ascii="Verdana" w:hAnsi="Verdana"/>
                <w:b/>
              </w:rPr>
              <w:t>%</w:t>
            </w:r>
          </w:p>
          <w:p w14:paraId="6C2ED659" w14:textId="77777777" w:rsidR="00C3258E" w:rsidRPr="00096C79" w:rsidRDefault="00C3258E" w:rsidP="00C3258E">
            <w:pPr>
              <w:jc w:val="center"/>
              <w:rPr>
                <w:rFonts w:ascii="Verdana" w:hAnsi="Verdana"/>
              </w:rPr>
            </w:pPr>
          </w:p>
        </w:tc>
        <w:tc>
          <w:tcPr>
            <w:tcW w:w="2127" w:type="dxa"/>
          </w:tcPr>
          <w:p w14:paraId="5BE2003A" w14:textId="76896E68" w:rsidR="00C3258E" w:rsidRPr="0084699E" w:rsidRDefault="00C3258E" w:rsidP="00C3258E">
            <w:pPr>
              <w:jc w:val="center"/>
              <w:rPr>
                <w:rFonts w:ascii="Verdana" w:hAnsi="Verdana"/>
                <w:color w:val="FF0000"/>
              </w:rPr>
            </w:pPr>
            <w:r>
              <w:rPr>
                <w:rFonts w:ascii="Verdana" w:hAnsi="Verdana"/>
                <w:b/>
              </w:rPr>
              <w:t>Comments</w:t>
            </w:r>
          </w:p>
        </w:tc>
      </w:tr>
      <w:tr w:rsidR="00C3258E" w:rsidRPr="00ED573D" w14:paraId="238CD6E7" w14:textId="77777777" w:rsidTr="00876574">
        <w:tc>
          <w:tcPr>
            <w:tcW w:w="562" w:type="dxa"/>
          </w:tcPr>
          <w:p w14:paraId="4ABF379D" w14:textId="77777777" w:rsidR="00C3258E" w:rsidRDefault="00C3258E" w:rsidP="00C3258E">
            <w:pPr>
              <w:rPr>
                <w:color w:val="FF0000"/>
              </w:rPr>
            </w:pPr>
          </w:p>
        </w:tc>
        <w:tc>
          <w:tcPr>
            <w:tcW w:w="1843" w:type="dxa"/>
          </w:tcPr>
          <w:p w14:paraId="24C56671" w14:textId="77777777" w:rsidR="00C3258E" w:rsidRPr="00096C79" w:rsidRDefault="00C3258E" w:rsidP="00C3258E">
            <w:pPr>
              <w:rPr>
                <w:rFonts w:ascii="Verdana" w:hAnsi="Verdana"/>
              </w:rPr>
            </w:pPr>
            <w:r w:rsidRPr="00096C79">
              <w:rPr>
                <w:rFonts w:ascii="Verdana" w:hAnsi="Verdana"/>
              </w:rPr>
              <w:t xml:space="preserve">Student feedback </w:t>
            </w:r>
          </w:p>
        </w:tc>
        <w:tc>
          <w:tcPr>
            <w:tcW w:w="2126" w:type="dxa"/>
          </w:tcPr>
          <w:p w14:paraId="43F7BFD0" w14:textId="77777777" w:rsidR="00C3258E" w:rsidRPr="00096C79" w:rsidRDefault="00C3258E" w:rsidP="00C3258E">
            <w:pPr>
              <w:rPr>
                <w:rFonts w:ascii="Verdana" w:hAnsi="Verdana"/>
              </w:rPr>
            </w:pPr>
            <w:r w:rsidRPr="00096C79">
              <w:rPr>
                <w:rFonts w:ascii="Verdana" w:hAnsi="Verdana"/>
              </w:rPr>
              <w:t>% of students who would recommend SGMC to a friend (QDP)</w:t>
            </w:r>
          </w:p>
          <w:p w14:paraId="12866256" w14:textId="68AEDF9A" w:rsidR="00C3258E" w:rsidRPr="00096C79" w:rsidRDefault="00C3258E" w:rsidP="00C3258E">
            <w:pPr>
              <w:rPr>
                <w:rFonts w:ascii="Verdana" w:hAnsi="Verdana"/>
              </w:rPr>
            </w:pPr>
          </w:p>
        </w:tc>
        <w:tc>
          <w:tcPr>
            <w:tcW w:w="1418" w:type="dxa"/>
          </w:tcPr>
          <w:p w14:paraId="48A49FA6" w14:textId="0F6D7F0A" w:rsidR="00C3258E" w:rsidRPr="00096C79" w:rsidRDefault="00C3258E" w:rsidP="00C3258E">
            <w:pPr>
              <w:jc w:val="center"/>
              <w:rPr>
                <w:rFonts w:ascii="Verdana" w:hAnsi="Verdana"/>
              </w:rPr>
            </w:pPr>
            <w:r w:rsidRPr="00096C79">
              <w:rPr>
                <w:rFonts w:ascii="Verdana" w:hAnsi="Verdana"/>
              </w:rPr>
              <w:t>93%</w:t>
            </w:r>
          </w:p>
        </w:tc>
        <w:tc>
          <w:tcPr>
            <w:tcW w:w="1417" w:type="dxa"/>
          </w:tcPr>
          <w:p w14:paraId="48773391" w14:textId="6B23CEC3" w:rsidR="00C3258E" w:rsidRPr="00096C79" w:rsidRDefault="00C3258E" w:rsidP="00C3258E">
            <w:pPr>
              <w:jc w:val="center"/>
              <w:rPr>
                <w:rFonts w:ascii="Verdana" w:hAnsi="Verdana"/>
              </w:rPr>
            </w:pPr>
            <w:r w:rsidRPr="00096C79">
              <w:rPr>
                <w:rFonts w:ascii="Verdana" w:hAnsi="Verdana"/>
              </w:rPr>
              <w:t>85%</w:t>
            </w:r>
          </w:p>
        </w:tc>
        <w:tc>
          <w:tcPr>
            <w:tcW w:w="2127" w:type="dxa"/>
          </w:tcPr>
          <w:p w14:paraId="0A1D5D31" w14:textId="31A037F7" w:rsidR="00C3258E" w:rsidRPr="0084699E" w:rsidRDefault="00C3258E" w:rsidP="00C3258E">
            <w:pPr>
              <w:jc w:val="center"/>
              <w:rPr>
                <w:rFonts w:ascii="Verdana" w:hAnsi="Verdana"/>
                <w:color w:val="FF0000"/>
              </w:rPr>
            </w:pPr>
          </w:p>
        </w:tc>
      </w:tr>
      <w:tr w:rsidR="00C3258E" w:rsidRPr="00ED573D" w14:paraId="571A9800" w14:textId="77777777" w:rsidTr="00876574">
        <w:tc>
          <w:tcPr>
            <w:tcW w:w="562" w:type="dxa"/>
          </w:tcPr>
          <w:p w14:paraId="6D1D14F0" w14:textId="77777777" w:rsidR="00C3258E" w:rsidRDefault="00C3258E" w:rsidP="00C3258E">
            <w:pPr>
              <w:rPr>
                <w:color w:val="FF0000"/>
              </w:rPr>
            </w:pPr>
          </w:p>
        </w:tc>
        <w:tc>
          <w:tcPr>
            <w:tcW w:w="1843" w:type="dxa"/>
          </w:tcPr>
          <w:p w14:paraId="0FB91DCC" w14:textId="06A1B825" w:rsidR="00C3258E" w:rsidRPr="00ED573D" w:rsidRDefault="00C3258E" w:rsidP="00C3258E">
            <w:pPr>
              <w:rPr>
                <w:rFonts w:ascii="Verdana" w:hAnsi="Verdana"/>
                <w:color w:val="FF0000"/>
              </w:rPr>
            </w:pPr>
          </w:p>
        </w:tc>
        <w:tc>
          <w:tcPr>
            <w:tcW w:w="2126" w:type="dxa"/>
          </w:tcPr>
          <w:p w14:paraId="4BB8D015" w14:textId="77777777" w:rsidR="00C3258E" w:rsidRPr="00ED573D" w:rsidRDefault="00C3258E" w:rsidP="00C3258E">
            <w:pPr>
              <w:rPr>
                <w:rFonts w:ascii="Verdana" w:hAnsi="Verdana"/>
              </w:rPr>
            </w:pPr>
            <w:r w:rsidRPr="00ED573D">
              <w:rPr>
                <w:rFonts w:ascii="Verdana" w:hAnsi="Verdana"/>
              </w:rPr>
              <w:t xml:space="preserve">% of students who feel safe at </w:t>
            </w:r>
            <w:r>
              <w:rPr>
                <w:rFonts w:ascii="Verdana" w:hAnsi="Verdana"/>
              </w:rPr>
              <w:t>C</w:t>
            </w:r>
            <w:r w:rsidRPr="00ED573D">
              <w:rPr>
                <w:rFonts w:ascii="Verdana" w:hAnsi="Verdana"/>
              </w:rPr>
              <w:t>ollege</w:t>
            </w:r>
          </w:p>
          <w:p w14:paraId="0C139F95" w14:textId="60FBA2CB" w:rsidR="00C3258E" w:rsidRPr="00ED573D" w:rsidRDefault="00C3258E" w:rsidP="00C3258E">
            <w:pPr>
              <w:rPr>
                <w:rFonts w:ascii="Verdana" w:hAnsi="Verdana"/>
                <w:color w:val="FF0000"/>
              </w:rPr>
            </w:pPr>
          </w:p>
        </w:tc>
        <w:tc>
          <w:tcPr>
            <w:tcW w:w="1418" w:type="dxa"/>
          </w:tcPr>
          <w:p w14:paraId="42A692A2" w14:textId="7B3DAABC" w:rsidR="00C3258E" w:rsidRDefault="00C3258E" w:rsidP="00C3258E">
            <w:pPr>
              <w:jc w:val="center"/>
              <w:rPr>
                <w:rFonts w:ascii="Verdana" w:hAnsi="Verdana"/>
              </w:rPr>
            </w:pPr>
            <w:r>
              <w:rPr>
                <w:rFonts w:ascii="Verdana" w:hAnsi="Verdana"/>
              </w:rPr>
              <w:t>94</w:t>
            </w:r>
            <w:r w:rsidRPr="00ED573D">
              <w:rPr>
                <w:rFonts w:ascii="Verdana" w:hAnsi="Verdana"/>
              </w:rPr>
              <w:t>%</w:t>
            </w:r>
          </w:p>
        </w:tc>
        <w:tc>
          <w:tcPr>
            <w:tcW w:w="1417" w:type="dxa"/>
          </w:tcPr>
          <w:p w14:paraId="67DDC475" w14:textId="46F0E6CA" w:rsidR="00C3258E" w:rsidRPr="00ED573D" w:rsidRDefault="00C3258E" w:rsidP="00C3258E">
            <w:pPr>
              <w:jc w:val="center"/>
              <w:rPr>
                <w:rFonts w:ascii="Verdana" w:hAnsi="Verdana"/>
              </w:rPr>
            </w:pPr>
            <w:r>
              <w:rPr>
                <w:rFonts w:ascii="Verdana" w:hAnsi="Verdana"/>
              </w:rPr>
              <w:t>95</w:t>
            </w:r>
            <w:r w:rsidRPr="00ED573D">
              <w:rPr>
                <w:rFonts w:ascii="Verdana" w:hAnsi="Verdana"/>
              </w:rPr>
              <w:t>%</w:t>
            </w:r>
          </w:p>
        </w:tc>
        <w:tc>
          <w:tcPr>
            <w:tcW w:w="2127" w:type="dxa"/>
          </w:tcPr>
          <w:p w14:paraId="7FA42489" w14:textId="0379A0FA" w:rsidR="00C3258E" w:rsidRPr="00ED573D" w:rsidRDefault="00C3258E" w:rsidP="00C3258E">
            <w:pPr>
              <w:jc w:val="center"/>
              <w:rPr>
                <w:rFonts w:ascii="Verdana" w:hAnsi="Verdana"/>
              </w:rPr>
            </w:pPr>
          </w:p>
        </w:tc>
      </w:tr>
      <w:tr w:rsidR="00C3258E" w:rsidRPr="00ED573D" w14:paraId="4ED6E9F5" w14:textId="77777777" w:rsidTr="00876574">
        <w:tc>
          <w:tcPr>
            <w:tcW w:w="562" w:type="dxa"/>
          </w:tcPr>
          <w:p w14:paraId="32461822" w14:textId="77777777" w:rsidR="00C3258E" w:rsidRDefault="00C3258E" w:rsidP="00C3258E">
            <w:pPr>
              <w:rPr>
                <w:color w:val="FF0000"/>
              </w:rPr>
            </w:pPr>
          </w:p>
        </w:tc>
        <w:tc>
          <w:tcPr>
            <w:tcW w:w="1843" w:type="dxa"/>
          </w:tcPr>
          <w:p w14:paraId="4618ABEA" w14:textId="77777777" w:rsidR="00C3258E" w:rsidRPr="000E6026" w:rsidRDefault="00C3258E" w:rsidP="00C3258E">
            <w:pPr>
              <w:rPr>
                <w:rFonts w:ascii="Verdana" w:hAnsi="Verdana"/>
              </w:rPr>
            </w:pPr>
            <w:r w:rsidRPr="000E6026">
              <w:rPr>
                <w:rFonts w:ascii="Verdana" w:hAnsi="Verdana"/>
              </w:rPr>
              <w:t xml:space="preserve">Recruitment </w:t>
            </w:r>
          </w:p>
          <w:p w14:paraId="3B880880" w14:textId="77777777" w:rsidR="00C3258E" w:rsidRPr="000E6026" w:rsidRDefault="00C3258E" w:rsidP="00C3258E">
            <w:pPr>
              <w:rPr>
                <w:rFonts w:ascii="Verdana" w:hAnsi="Verdana"/>
              </w:rPr>
            </w:pPr>
          </w:p>
          <w:p w14:paraId="6CBADDD4" w14:textId="77777777" w:rsidR="00C3258E" w:rsidRPr="000E6026" w:rsidRDefault="00C3258E" w:rsidP="00C3258E">
            <w:pPr>
              <w:rPr>
                <w:rFonts w:ascii="Verdana" w:hAnsi="Verdana"/>
                <w:color w:val="FF0000"/>
              </w:rPr>
            </w:pPr>
          </w:p>
        </w:tc>
        <w:tc>
          <w:tcPr>
            <w:tcW w:w="2126" w:type="dxa"/>
          </w:tcPr>
          <w:p w14:paraId="57DD0B38" w14:textId="77777777" w:rsidR="00C3258E" w:rsidRPr="00463FA1" w:rsidRDefault="00C3258E" w:rsidP="00C3258E">
            <w:pPr>
              <w:rPr>
                <w:rFonts w:ascii="Verdana" w:hAnsi="Verdana"/>
              </w:rPr>
            </w:pPr>
            <w:r w:rsidRPr="00463FA1">
              <w:rPr>
                <w:rFonts w:ascii="Verdana" w:hAnsi="Verdana"/>
              </w:rPr>
              <w:t xml:space="preserve">No. of EFA funded learners enrolled </w:t>
            </w:r>
          </w:p>
          <w:p w14:paraId="56045143" w14:textId="77777777" w:rsidR="00C3258E" w:rsidRDefault="00C3258E" w:rsidP="00C3258E">
            <w:pPr>
              <w:rPr>
                <w:rFonts w:ascii="Verdana" w:hAnsi="Verdana"/>
                <w:color w:val="FF0000"/>
              </w:rPr>
            </w:pPr>
            <w:r w:rsidRPr="00463FA1">
              <w:rPr>
                <w:rFonts w:ascii="Verdana" w:hAnsi="Verdana"/>
              </w:rPr>
              <w:t xml:space="preserve">at census dates </w:t>
            </w:r>
            <w:r>
              <w:rPr>
                <w:rFonts w:ascii="Verdana" w:hAnsi="Verdana"/>
              </w:rPr>
              <w:t>(</w:t>
            </w:r>
            <w:r w:rsidRPr="00463FA1">
              <w:rPr>
                <w:rFonts w:ascii="Verdana" w:hAnsi="Verdana"/>
              </w:rPr>
              <w:t>i.e. funding target</w:t>
            </w:r>
            <w:r>
              <w:rPr>
                <w:rFonts w:ascii="Verdana" w:hAnsi="Verdana"/>
              </w:rPr>
              <w:t>)</w:t>
            </w:r>
            <w:r w:rsidRPr="00ED573D">
              <w:rPr>
                <w:rFonts w:ascii="Verdana" w:hAnsi="Verdana"/>
                <w:color w:val="FF0000"/>
              </w:rPr>
              <w:t xml:space="preserve"> </w:t>
            </w:r>
          </w:p>
          <w:p w14:paraId="305D298F" w14:textId="77777777" w:rsidR="00C3258E" w:rsidRDefault="00C3258E" w:rsidP="00C3258E">
            <w:pPr>
              <w:rPr>
                <w:rFonts w:ascii="Verdana" w:hAnsi="Verdana"/>
                <w:color w:val="FF0000"/>
              </w:rPr>
            </w:pPr>
          </w:p>
          <w:p w14:paraId="69B01BEF" w14:textId="40AFB91B" w:rsidR="00C3258E" w:rsidRPr="00ED573D" w:rsidRDefault="00C3258E" w:rsidP="00C3258E">
            <w:pPr>
              <w:rPr>
                <w:rFonts w:ascii="Verdana" w:hAnsi="Verdana"/>
                <w:color w:val="FF0000"/>
              </w:rPr>
            </w:pPr>
          </w:p>
        </w:tc>
        <w:tc>
          <w:tcPr>
            <w:tcW w:w="1418" w:type="dxa"/>
          </w:tcPr>
          <w:p w14:paraId="20BA472E" w14:textId="3E2B717E" w:rsidR="00C3258E" w:rsidRPr="00ED573D" w:rsidRDefault="00C3258E" w:rsidP="00C3258E">
            <w:pPr>
              <w:jc w:val="center"/>
              <w:rPr>
                <w:rFonts w:ascii="Verdana" w:hAnsi="Verdana"/>
              </w:rPr>
            </w:pPr>
            <w:r>
              <w:rPr>
                <w:rFonts w:ascii="Verdana" w:hAnsi="Verdana"/>
              </w:rPr>
              <w:t>1790</w:t>
            </w:r>
          </w:p>
        </w:tc>
        <w:tc>
          <w:tcPr>
            <w:tcW w:w="1417" w:type="dxa"/>
          </w:tcPr>
          <w:p w14:paraId="242C81D6" w14:textId="5FE2C21E" w:rsidR="00C3258E" w:rsidRPr="00ED573D" w:rsidRDefault="00C3258E" w:rsidP="00C3258E">
            <w:pPr>
              <w:jc w:val="center"/>
              <w:rPr>
                <w:rFonts w:ascii="Verdana" w:hAnsi="Verdana"/>
              </w:rPr>
            </w:pPr>
            <w:r w:rsidRPr="00ED573D">
              <w:rPr>
                <w:rFonts w:ascii="Verdana" w:hAnsi="Verdana"/>
              </w:rPr>
              <w:t>1820</w:t>
            </w:r>
          </w:p>
        </w:tc>
        <w:tc>
          <w:tcPr>
            <w:tcW w:w="2127" w:type="dxa"/>
          </w:tcPr>
          <w:p w14:paraId="21D623BB" w14:textId="1E590295" w:rsidR="00C3258E" w:rsidRPr="00ED573D" w:rsidRDefault="00C3258E" w:rsidP="00C3258E">
            <w:pPr>
              <w:jc w:val="center"/>
              <w:rPr>
                <w:rFonts w:ascii="Verdana" w:hAnsi="Verdana"/>
              </w:rPr>
            </w:pPr>
            <w:r>
              <w:rPr>
                <w:rFonts w:ascii="Verdana" w:hAnsi="Verdana"/>
              </w:rPr>
              <w:t>2019-20 outcome not final figure</w:t>
            </w:r>
          </w:p>
          <w:p w14:paraId="2F258E75" w14:textId="77777777" w:rsidR="00C3258E" w:rsidRPr="00ED573D" w:rsidRDefault="00C3258E" w:rsidP="00C3258E">
            <w:pPr>
              <w:jc w:val="center"/>
              <w:rPr>
                <w:rFonts w:ascii="Verdana" w:hAnsi="Verdana"/>
              </w:rPr>
            </w:pPr>
          </w:p>
        </w:tc>
      </w:tr>
      <w:tr w:rsidR="00C3258E" w:rsidRPr="00F46156" w14:paraId="6A3682E4" w14:textId="77777777" w:rsidTr="00876574">
        <w:tc>
          <w:tcPr>
            <w:tcW w:w="562" w:type="dxa"/>
          </w:tcPr>
          <w:p w14:paraId="2A0FF879" w14:textId="77777777" w:rsidR="00C3258E" w:rsidRDefault="00C3258E" w:rsidP="00C3258E">
            <w:pPr>
              <w:rPr>
                <w:color w:val="FF0000"/>
              </w:rPr>
            </w:pPr>
          </w:p>
        </w:tc>
        <w:tc>
          <w:tcPr>
            <w:tcW w:w="1843" w:type="dxa"/>
          </w:tcPr>
          <w:p w14:paraId="664216F0" w14:textId="5D127487" w:rsidR="00C3258E" w:rsidRPr="000E6026" w:rsidRDefault="00C3258E" w:rsidP="00C3258E">
            <w:pPr>
              <w:rPr>
                <w:rFonts w:ascii="Verdana" w:hAnsi="Verdana"/>
              </w:rPr>
            </w:pPr>
            <w:r>
              <w:rPr>
                <w:rFonts w:ascii="Verdana" w:hAnsi="Verdana"/>
              </w:rPr>
              <w:t>Recruitment</w:t>
            </w:r>
          </w:p>
          <w:p w14:paraId="1076D254" w14:textId="77777777" w:rsidR="00C3258E" w:rsidRPr="000E6026" w:rsidRDefault="00C3258E" w:rsidP="00C3258E">
            <w:pPr>
              <w:rPr>
                <w:rFonts w:ascii="Verdana" w:hAnsi="Verdana"/>
                <w:color w:val="FF0000"/>
              </w:rPr>
            </w:pPr>
          </w:p>
        </w:tc>
        <w:tc>
          <w:tcPr>
            <w:tcW w:w="2126" w:type="dxa"/>
          </w:tcPr>
          <w:p w14:paraId="396F8B86" w14:textId="77777777" w:rsidR="00C3258E" w:rsidRDefault="00C3258E" w:rsidP="00C3258E">
            <w:pPr>
              <w:rPr>
                <w:rFonts w:ascii="Verdana" w:hAnsi="Verdana"/>
              </w:rPr>
            </w:pPr>
            <w:r w:rsidRPr="000E6026">
              <w:rPr>
                <w:rFonts w:ascii="Verdana" w:hAnsi="Verdana"/>
              </w:rPr>
              <w:t>Application to offer conversion rate</w:t>
            </w:r>
            <w:r>
              <w:rPr>
                <w:rFonts w:ascii="Verdana" w:hAnsi="Verdana"/>
              </w:rPr>
              <w:t>.</w:t>
            </w:r>
          </w:p>
          <w:p w14:paraId="07487790" w14:textId="77777777" w:rsidR="00C3258E" w:rsidRPr="00613224" w:rsidRDefault="00C3258E" w:rsidP="00C3258E">
            <w:pPr>
              <w:rPr>
                <w:rFonts w:ascii="Verdana" w:hAnsi="Verdana"/>
              </w:rPr>
            </w:pPr>
          </w:p>
        </w:tc>
        <w:tc>
          <w:tcPr>
            <w:tcW w:w="1418" w:type="dxa"/>
          </w:tcPr>
          <w:p w14:paraId="4EDF7DCC" w14:textId="77777777" w:rsidR="00C3258E" w:rsidRDefault="00C3258E" w:rsidP="00C3258E">
            <w:pPr>
              <w:jc w:val="center"/>
              <w:rPr>
                <w:rFonts w:ascii="Verdana" w:hAnsi="Verdana"/>
              </w:rPr>
            </w:pPr>
            <w:r>
              <w:rPr>
                <w:rFonts w:ascii="Verdana" w:hAnsi="Verdana"/>
              </w:rPr>
              <w:t>51</w:t>
            </w:r>
            <w:r w:rsidRPr="000E6026">
              <w:rPr>
                <w:rFonts w:ascii="Verdana" w:hAnsi="Verdana"/>
              </w:rPr>
              <w:t>%</w:t>
            </w:r>
          </w:p>
          <w:p w14:paraId="174D6DF6" w14:textId="77777777" w:rsidR="00C3258E" w:rsidRPr="00F46156" w:rsidRDefault="00C3258E" w:rsidP="00C3258E">
            <w:pPr>
              <w:jc w:val="center"/>
              <w:rPr>
                <w:rFonts w:ascii="Verdana" w:hAnsi="Verdana"/>
              </w:rPr>
            </w:pPr>
          </w:p>
        </w:tc>
        <w:tc>
          <w:tcPr>
            <w:tcW w:w="1417" w:type="dxa"/>
          </w:tcPr>
          <w:p w14:paraId="021F87AA" w14:textId="12B252F2" w:rsidR="00C3258E" w:rsidRDefault="00C3258E" w:rsidP="00C3258E">
            <w:pPr>
              <w:jc w:val="center"/>
              <w:rPr>
                <w:rFonts w:ascii="Verdana" w:hAnsi="Verdana"/>
              </w:rPr>
            </w:pPr>
            <w:r>
              <w:rPr>
                <w:rFonts w:ascii="Verdana" w:hAnsi="Verdana"/>
              </w:rPr>
              <w:t>5</w:t>
            </w:r>
            <w:r w:rsidRPr="00F46156">
              <w:rPr>
                <w:rFonts w:ascii="Verdana" w:hAnsi="Verdana"/>
              </w:rPr>
              <w:t>5%</w:t>
            </w:r>
          </w:p>
        </w:tc>
        <w:tc>
          <w:tcPr>
            <w:tcW w:w="2127" w:type="dxa"/>
          </w:tcPr>
          <w:p w14:paraId="19D70DBB" w14:textId="77777777" w:rsidR="00C3258E" w:rsidRPr="00F46156" w:rsidRDefault="00C3258E" w:rsidP="00C3258E">
            <w:pPr>
              <w:jc w:val="center"/>
              <w:rPr>
                <w:rFonts w:ascii="Verdana" w:hAnsi="Verdana"/>
              </w:rPr>
            </w:pPr>
          </w:p>
        </w:tc>
      </w:tr>
      <w:tr w:rsidR="00C3258E" w14:paraId="003D1542" w14:textId="77777777" w:rsidTr="00876574">
        <w:tc>
          <w:tcPr>
            <w:tcW w:w="562" w:type="dxa"/>
          </w:tcPr>
          <w:p w14:paraId="48485B5D" w14:textId="77777777" w:rsidR="00C3258E" w:rsidRDefault="00C3258E" w:rsidP="00C3258E">
            <w:pPr>
              <w:rPr>
                <w:color w:val="FF0000"/>
              </w:rPr>
            </w:pPr>
          </w:p>
        </w:tc>
        <w:tc>
          <w:tcPr>
            <w:tcW w:w="1843" w:type="dxa"/>
            <w:vAlign w:val="center"/>
          </w:tcPr>
          <w:p w14:paraId="1AE5E644" w14:textId="77777777" w:rsidR="00C3258E" w:rsidRPr="000E6026" w:rsidRDefault="00C3258E" w:rsidP="00C3258E">
            <w:pPr>
              <w:rPr>
                <w:rFonts w:ascii="Verdana" w:hAnsi="Verdana"/>
                <w:b/>
              </w:rPr>
            </w:pPr>
          </w:p>
        </w:tc>
        <w:tc>
          <w:tcPr>
            <w:tcW w:w="2126" w:type="dxa"/>
            <w:vAlign w:val="center"/>
          </w:tcPr>
          <w:p w14:paraId="00BF6C44" w14:textId="77777777" w:rsidR="00C3258E" w:rsidRDefault="00C3258E" w:rsidP="00C3258E">
            <w:pPr>
              <w:rPr>
                <w:rFonts w:ascii="Verdana" w:hAnsi="Verdana"/>
              </w:rPr>
            </w:pPr>
            <w:r w:rsidRPr="00463FA1">
              <w:rPr>
                <w:rFonts w:ascii="Verdana" w:hAnsi="Verdana"/>
              </w:rPr>
              <w:t>Offer to enrolment conversion rate</w:t>
            </w:r>
          </w:p>
          <w:p w14:paraId="60E4C1AE" w14:textId="77777777" w:rsidR="00C3258E" w:rsidRDefault="00C3258E" w:rsidP="00C3258E">
            <w:pPr>
              <w:rPr>
                <w:rFonts w:ascii="Verdana" w:hAnsi="Verdana"/>
                <w:b/>
              </w:rPr>
            </w:pPr>
          </w:p>
          <w:p w14:paraId="3753858C" w14:textId="77777777" w:rsidR="00C3258E" w:rsidRDefault="00C3258E" w:rsidP="00C3258E">
            <w:pPr>
              <w:rPr>
                <w:rFonts w:ascii="Verdana" w:hAnsi="Verdana"/>
                <w:b/>
              </w:rPr>
            </w:pPr>
          </w:p>
          <w:p w14:paraId="4EF9295B" w14:textId="77777777" w:rsidR="00C3258E" w:rsidRDefault="00C3258E" w:rsidP="00C3258E">
            <w:pPr>
              <w:rPr>
                <w:rFonts w:ascii="Verdana" w:hAnsi="Verdana"/>
                <w:b/>
              </w:rPr>
            </w:pPr>
          </w:p>
          <w:p w14:paraId="6FEE3146" w14:textId="77777777" w:rsidR="00C3258E" w:rsidRDefault="00C3258E" w:rsidP="00C3258E">
            <w:pPr>
              <w:rPr>
                <w:rFonts w:ascii="Verdana" w:hAnsi="Verdana"/>
                <w:b/>
              </w:rPr>
            </w:pPr>
          </w:p>
          <w:p w14:paraId="4AA90A99" w14:textId="1FE53AC0" w:rsidR="00C3258E" w:rsidRPr="00463FA1" w:rsidRDefault="00C3258E" w:rsidP="00C3258E">
            <w:pPr>
              <w:rPr>
                <w:rFonts w:ascii="Verdana" w:hAnsi="Verdana"/>
                <w:b/>
              </w:rPr>
            </w:pPr>
          </w:p>
        </w:tc>
        <w:tc>
          <w:tcPr>
            <w:tcW w:w="1418" w:type="dxa"/>
            <w:vAlign w:val="center"/>
          </w:tcPr>
          <w:p w14:paraId="4475018F" w14:textId="6EE9ED73" w:rsidR="00C3258E" w:rsidRPr="00463FA1" w:rsidRDefault="00C3258E" w:rsidP="00C3258E">
            <w:pPr>
              <w:jc w:val="center"/>
              <w:rPr>
                <w:rFonts w:ascii="Verdana" w:hAnsi="Verdana"/>
                <w:bCs/>
              </w:rPr>
            </w:pPr>
            <w:r w:rsidRPr="00463FA1">
              <w:rPr>
                <w:rFonts w:ascii="Verdana" w:hAnsi="Verdana"/>
                <w:bCs/>
              </w:rPr>
              <w:t>46.6%</w:t>
            </w:r>
          </w:p>
        </w:tc>
        <w:tc>
          <w:tcPr>
            <w:tcW w:w="1417" w:type="dxa"/>
            <w:vAlign w:val="center"/>
          </w:tcPr>
          <w:p w14:paraId="52087BA1" w14:textId="56436DAF" w:rsidR="00C3258E" w:rsidRPr="00463FA1" w:rsidRDefault="00C3258E" w:rsidP="00C3258E">
            <w:pPr>
              <w:jc w:val="center"/>
              <w:rPr>
                <w:rFonts w:ascii="Verdana" w:hAnsi="Verdana"/>
                <w:bCs/>
              </w:rPr>
            </w:pPr>
            <w:r w:rsidRPr="00463FA1">
              <w:rPr>
                <w:rFonts w:ascii="Verdana" w:hAnsi="Verdana"/>
                <w:bCs/>
              </w:rPr>
              <w:t>4</w:t>
            </w:r>
            <w:r>
              <w:rPr>
                <w:rFonts w:ascii="Verdana" w:hAnsi="Verdana"/>
                <w:bCs/>
              </w:rPr>
              <w:t>5</w:t>
            </w:r>
            <w:r w:rsidRPr="00463FA1">
              <w:rPr>
                <w:rFonts w:ascii="Verdana" w:hAnsi="Verdana"/>
                <w:bCs/>
              </w:rPr>
              <w:t>%</w:t>
            </w:r>
          </w:p>
        </w:tc>
        <w:tc>
          <w:tcPr>
            <w:tcW w:w="2127" w:type="dxa"/>
          </w:tcPr>
          <w:p w14:paraId="66665E50" w14:textId="77777777" w:rsidR="00C3258E" w:rsidRDefault="00C3258E" w:rsidP="00C3258E">
            <w:pPr>
              <w:jc w:val="center"/>
              <w:rPr>
                <w:rFonts w:ascii="Verdana" w:hAnsi="Verdana"/>
                <w:b/>
              </w:rPr>
            </w:pPr>
          </w:p>
        </w:tc>
      </w:tr>
      <w:tr w:rsidR="00C3258E" w:rsidRPr="00FD4019" w14:paraId="137BB0C7" w14:textId="77777777" w:rsidTr="00876574">
        <w:tc>
          <w:tcPr>
            <w:tcW w:w="562" w:type="dxa"/>
          </w:tcPr>
          <w:p w14:paraId="4265318F" w14:textId="77777777" w:rsidR="00C3258E" w:rsidRDefault="00C3258E" w:rsidP="00C3258E">
            <w:pPr>
              <w:rPr>
                <w:color w:val="FF0000"/>
              </w:rPr>
            </w:pPr>
          </w:p>
        </w:tc>
        <w:tc>
          <w:tcPr>
            <w:tcW w:w="1843" w:type="dxa"/>
          </w:tcPr>
          <w:p w14:paraId="3F2B17B6" w14:textId="77777777" w:rsidR="00C3258E" w:rsidRPr="00EA2CE0" w:rsidRDefault="00C3258E" w:rsidP="00C3258E">
            <w:pPr>
              <w:rPr>
                <w:rFonts w:ascii="Verdana" w:hAnsi="Verdana"/>
              </w:rPr>
            </w:pPr>
            <w:r w:rsidRPr="00EA2CE0">
              <w:rPr>
                <w:rFonts w:ascii="Verdana" w:hAnsi="Verdana"/>
              </w:rPr>
              <w:t>Internal Progression</w:t>
            </w:r>
          </w:p>
          <w:p w14:paraId="73398465" w14:textId="77777777" w:rsidR="00C3258E" w:rsidRPr="000E6026" w:rsidRDefault="00C3258E" w:rsidP="00C3258E">
            <w:pPr>
              <w:rPr>
                <w:rFonts w:ascii="Verdana" w:hAnsi="Verdana"/>
                <w:b/>
              </w:rPr>
            </w:pPr>
          </w:p>
        </w:tc>
        <w:tc>
          <w:tcPr>
            <w:tcW w:w="2126" w:type="dxa"/>
          </w:tcPr>
          <w:p w14:paraId="00990A63" w14:textId="77777777" w:rsidR="00C3258E" w:rsidRDefault="00C3258E" w:rsidP="00C3258E">
            <w:pPr>
              <w:rPr>
                <w:rFonts w:ascii="Verdana" w:hAnsi="Verdana"/>
              </w:rPr>
            </w:pPr>
            <w:r w:rsidRPr="00EA2CE0">
              <w:rPr>
                <w:rFonts w:ascii="Verdana" w:hAnsi="Verdana"/>
              </w:rPr>
              <w:t>% of students progressing from vocational L2 –L3</w:t>
            </w:r>
            <w:r>
              <w:rPr>
                <w:rFonts w:ascii="Verdana" w:hAnsi="Verdana"/>
              </w:rPr>
              <w:t>.</w:t>
            </w:r>
          </w:p>
          <w:p w14:paraId="17DAE122" w14:textId="4664DBC9" w:rsidR="00C3258E" w:rsidRDefault="00C3258E" w:rsidP="00C3258E">
            <w:pPr>
              <w:rPr>
                <w:rFonts w:ascii="Verdana" w:hAnsi="Verdana"/>
                <w:b/>
              </w:rPr>
            </w:pPr>
          </w:p>
          <w:p w14:paraId="26508517" w14:textId="7A0E7960" w:rsidR="00876574" w:rsidRDefault="00876574" w:rsidP="00C3258E">
            <w:pPr>
              <w:rPr>
                <w:rFonts w:ascii="Verdana" w:hAnsi="Verdana"/>
                <w:b/>
              </w:rPr>
            </w:pPr>
          </w:p>
          <w:p w14:paraId="185356A8" w14:textId="50302B65" w:rsidR="00876574" w:rsidRDefault="00876574" w:rsidP="00C3258E">
            <w:pPr>
              <w:rPr>
                <w:rFonts w:ascii="Verdana" w:hAnsi="Verdana"/>
                <w:b/>
              </w:rPr>
            </w:pPr>
          </w:p>
          <w:p w14:paraId="62FD9CA7" w14:textId="366FA024" w:rsidR="00876574" w:rsidRDefault="00876574" w:rsidP="00C3258E">
            <w:pPr>
              <w:rPr>
                <w:rFonts w:ascii="Verdana" w:hAnsi="Verdana"/>
                <w:b/>
              </w:rPr>
            </w:pPr>
          </w:p>
          <w:p w14:paraId="735F4703" w14:textId="2934384D" w:rsidR="00876574" w:rsidRDefault="00876574" w:rsidP="00C3258E">
            <w:pPr>
              <w:rPr>
                <w:rFonts w:ascii="Verdana" w:hAnsi="Verdana"/>
                <w:b/>
              </w:rPr>
            </w:pPr>
          </w:p>
          <w:p w14:paraId="53609F57" w14:textId="3CCD9D61" w:rsidR="00876574" w:rsidRDefault="00876574" w:rsidP="00C3258E">
            <w:pPr>
              <w:rPr>
                <w:rFonts w:ascii="Verdana" w:hAnsi="Verdana"/>
                <w:b/>
              </w:rPr>
            </w:pPr>
          </w:p>
          <w:p w14:paraId="371B64BC" w14:textId="30F4599D" w:rsidR="00876574" w:rsidRDefault="00876574" w:rsidP="00C3258E">
            <w:pPr>
              <w:rPr>
                <w:rFonts w:ascii="Verdana" w:hAnsi="Verdana"/>
                <w:b/>
              </w:rPr>
            </w:pPr>
          </w:p>
          <w:p w14:paraId="291EA34B" w14:textId="176B441F" w:rsidR="00876574" w:rsidRDefault="00876574" w:rsidP="00C3258E">
            <w:pPr>
              <w:rPr>
                <w:rFonts w:ascii="Verdana" w:hAnsi="Verdana"/>
                <w:b/>
              </w:rPr>
            </w:pPr>
          </w:p>
          <w:p w14:paraId="092124DE" w14:textId="579016B0" w:rsidR="00876574" w:rsidRDefault="00876574" w:rsidP="00C3258E">
            <w:pPr>
              <w:rPr>
                <w:rFonts w:ascii="Verdana" w:hAnsi="Verdana"/>
                <w:b/>
              </w:rPr>
            </w:pPr>
          </w:p>
          <w:p w14:paraId="4DC34710" w14:textId="578A0495" w:rsidR="00876574" w:rsidRDefault="00876574" w:rsidP="00C3258E">
            <w:pPr>
              <w:rPr>
                <w:rFonts w:ascii="Verdana" w:hAnsi="Verdana"/>
                <w:b/>
              </w:rPr>
            </w:pPr>
          </w:p>
          <w:p w14:paraId="64DEA4D0" w14:textId="77777777" w:rsidR="00876574" w:rsidRDefault="00876574" w:rsidP="00C3258E">
            <w:pPr>
              <w:rPr>
                <w:rFonts w:ascii="Verdana" w:hAnsi="Verdana"/>
                <w:b/>
              </w:rPr>
            </w:pPr>
          </w:p>
          <w:p w14:paraId="15AEDD0B" w14:textId="77777777" w:rsidR="00876574" w:rsidRDefault="00876574" w:rsidP="00C3258E">
            <w:pPr>
              <w:rPr>
                <w:rFonts w:ascii="Verdana" w:hAnsi="Verdana"/>
                <w:b/>
              </w:rPr>
            </w:pPr>
          </w:p>
          <w:p w14:paraId="0A301677" w14:textId="2C00055F" w:rsidR="00C3258E" w:rsidRPr="000E6026" w:rsidRDefault="00C3258E" w:rsidP="00C3258E">
            <w:pPr>
              <w:rPr>
                <w:rFonts w:ascii="Verdana" w:hAnsi="Verdana"/>
                <w:b/>
              </w:rPr>
            </w:pPr>
          </w:p>
        </w:tc>
        <w:tc>
          <w:tcPr>
            <w:tcW w:w="1418" w:type="dxa"/>
            <w:vAlign w:val="center"/>
          </w:tcPr>
          <w:p w14:paraId="2B1F410F" w14:textId="1F4735A9" w:rsidR="00C3258E" w:rsidRDefault="00C3258E" w:rsidP="00C3258E">
            <w:pPr>
              <w:jc w:val="center"/>
              <w:rPr>
                <w:rFonts w:ascii="Verdana" w:hAnsi="Verdana"/>
              </w:rPr>
            </w:pPr>
            <w:r w:rsidRPr="00FD4019">
              <w:rPr>
                <w:rFonts w:ascii="Verdana" w:hAnsi="Verdana"/>
              </w:rPr>
              <w:t>7</w:t>
            </w:r>
            <w:r>
              <w:rPr>
                <w:rFonts w:ascii="Verdana" w:hAnsi="Verdana"/>
              </w:rPr>
              <w:t>8</w:t>
            </w:r>
            <w:r w:rsidRPr="00FD4019">
              <w:rPr>
                <w:rFonts w:ascii="Verdana" w:hAnsi="Verdana"/>
              </w:rPr>
              <w:t>%</w:t>
            </w:r>
          </w:p>
        </w:tc>
        <w:tc>
          <w:tcPr>
            <w:tcW w:w="1417" w:type="dxa"/>
            <w:vAlign w:val="center"/>
          </w:tcPr>
          <w:p w14:paraId="71DA83EF" w14:textId="7E041CE3" w:rsidR="00C3258E" w:rsidRDefault="00C3258E" w:rsidP="00C3258E">
            <w:pPr>
              <w:jc w:val="center"/>
              <w:rPr>
                <w:rFonts w:ascii="Verdana" w:hAnsi="Verdana"/>
              </w:rPr>
            </w:pPr>
            <w:r>
              <w:rPr>
                <w:rFonts w:ascii="Verdana" w:hAnsi="Verdana"/>
              </w:rPr>
              <w:t>75</w:t>
            </w:r>
            <w:r w:rsidRPr="00FD4019">
              <w:rPr>
                <w:rFonts w:ascii="Verdana" w:hAnsi="Verdana"/>
              </w:rPr>
              <w:t>%</w:t>
            </w:r>
          </w:p>
        </w:tc>
        <w:tc>
          <w:tcPr>
            <w:tcW w:w="2127" w:type="dxa"/>
            <w:vAlign w:val="center"/>
          </w:tcPr>
          <w:p w14:paraId="2B72E04C" w14:textId="77777777" w:rsidR="00C3258E" w:rsidRDefault="00C3258E" w:rsidP="00C3258E">
            <w:pPr>
              <w:jc w:val="center"/>
              <w:rPr>
                <w:rFonts w:ascii="Verdana" w:hAnsi="Verdana"/>
              </w:rPr>
            </w:pPr>
          </w:p>
          <w:p w14:paraId="71137BA7" w14:textId="77777777" w:rsidR="00C3258E" w:rsidRPr="00FD4019" w:rsidRDefault="00C3258E" w:rsidP="00C3258E">
            <w:pPr>
              <w:jc w:val="center"/>
              <w:rPr>
                <w:rFonts w:ascii="Verdana" w:hAnsi="Verdana"/>
              </w:rPr>
            </w:pPr>
          </w:p>
        </w:tc>
      </w:tr>
      <w:tr w:rsidR="00C3258E" w:rsidRPr="00FD4019" w14:paraId="22AC4665" w14:textId="77777777" w:rsidTr="00876574">
        <w:tc>
          <w:tcPr>
            <w:tcW w:w="562" w:type="dxa"/>
          </w:tcPr>
          <w:p w14:paraId="2EA42D31" w14:textId="77777777" w:rsidR="00C3258E" w:rsidRDefault="00C3258E" w:rsidP="00C3258E">
            <w:pPr>
              <w:rPr>
                <w:color w:val="FF0000"/>
              </w:rPr>
            </w:pPr>
          </w:p>
        </w:tc>
        <w:tc>
          <w:tcPr>
            <w:tcW w:w="1843" w:type="dxa"/>
            <w:vAlign w:val="center"/>
          </w:tcPr>
          <w:p w14:paraId="6B668A6A" w14:textId="35FEABDB" w:rsidR="00C3258E" w:rsidRPr="000E6026" w:rsidRDefault="00C3258E" w:rsidP="00C3258E">
            <w:pPr>
              <w:rPr>
                <w:rFonts w:ascii="Verdana" w:hAnsi="Verdana"/>
                <w:b/>
              </w:rPr>
            </w:pPr>
            <w:r w:rsidRPr="000E6026">
              <w:rPr>
                <w:rFonts w:ascii="Verdana" w:hAnsi="Verdana"/>
                <w:b/>
              </w:rPr>
              <w:t>Performance Indicator</w:t>
            </w:r>
          </w:p>
        </w:tc>
        <w:tc>
          <w:tcPr>
            <w:tcW w:w="2126" w:type="dxa"/>
            <w:vAlign w:val="center"/>
          </w:tcPr>
          <w:p w14:paraId="57D8E7A3" w14:textId="0613BE0A" w:rsidR="00C3258E" w:rsidRPr="00FD4019" w:rsidRDefault="00C3258E" w:rsidP="00C3258E">
            <w:pPr>
              <w:rPr>
                <w:rFonts w:ascii="Verdana" w:hAnsi="Verdana"/>
              </w:rPr>
            </w:pPr>
            <w:r w:rsidRPr="00EC43ED">
              <w:rPr>
                <w:rFonts w:ascii="Verdana" w:hAnsi="Verdana"/>
                <w:b/>
              </w:rPr>
              <w:t>Measure</w:t>
            </w:r>
          </w:p>
        </w:tc>
        <w:tc>
          <w:tcPr>
            <w:tcW w:w="1418" w:type="dxa"/>
            <w:vAlign w:val="center"/>
          </w:tcPr>
          <w:p w14:paraId="3E6E3211" w14:textId="77777777" w:rsidR="00C3258E" w:rsidRPr="000E6026" w:rsidRDefault="00C3258E" w:rsidP="00C3258E">
            <w:pPr>
              <w:jc w:val="center"/>
              <w:rPr>
                <w:rFonts w:ascii="Verdana" w:hAnsi="Verdana"/>
                <w:b/>
              </w:rPr>
            </w:pPr>
            <w:r>
              <w:rPr>
                <w:rFonts w:ascii="Verdana" w:hAnsi="Verdana"/>
                <w:b/>
              </w:rPr>
              <w:t>2019-20</w:t>
            </w:r>
          </w:p>
          <w:p w14:paraId="24838501" w14:textId="77777777" w:rsidR="00C3258E" w:rsidRPr="000E6026" w:rsidRDefault="00C3258E" w:rsidP="00C3258E">
            <w:pPr>
              <w:jc w:val="center"/>
              <w:rPr>
                <w:rFonts w:ascii="Verdana" w:hAnsi="Verdana"/>
                <w:b/>
              </w:rPr>
            </w:pPr>
            <w:r w:rsidRPr="000E6026">
              <w:rPr>
                <w:rFonts w:ascii="Verdana" w:hAnsi="Verdana"/>
                <w:b/>
              </w:rPr>
              <w:t>Outcome</w:t>
            </w:r>
          </w:p>
          <w:p w14:paraId="373B3E0B" w14:textId="77777777" w:rsidR="00C3258E" w:rsidRPr="00FD4019" w:rsidRDefault="00C3258E" w:rsidP="00C3258E">
            <w:pPr>
              <w:jc w:val="center"/>
              <w:rPr>
                <w:rFonts w:ascii="Verdana" w:hAnsi="Verdana"/>
              </w:rPr>
            </w:pPr>
          </w:p>
        </w:tc>
        <w:tc>
          <w:tcPr>
            <w:tcW w:w="1417" w:type="dxa"/>
            <w:vAlign w:val="center"/>
          </w:tcPr>
          <w:p w14:paraId="64922E22" w14:textId="77777777" w:rsidR="00C3258E" w:rsidRPr="000E6026" w:rsidRDefault="00C3258E" w:rsidP="00C3258E">
            <w:pPr>
              <w:jc w:val="center"/>
              <w:rPr>
                <w:rFonts w:ascii="Verdana" w:hAnsi="Verdana"/>
                <w:b/>
              </w:rPr>
            </w:pPr>
            <w:r>
              <w:rPr>
                <w:rFonts w:ascii="Verdana" w:hAnsi="Verdana"/>
                <w:b/>
              </w:rPr>
              <w:t>2020-21</w:t>
            </w:r>
            <w:r w:rsidRPr="000E6026">
              <w:rPr>
                <w:rFonts w:ascii="Verdana" w:hAnsi="Verdana"/>
                <w:b/>
              </w:rPr>
              <w:t xml:space="preserve"> Target</w:t>
            </w:r>
          </w:p>
          <w:p w14:paraId="5700C616" w14:textId="77777777" w:rsidR="00C3258E" w:rsidRDefault="00C3258E" w:rsidP="00C3258E">
            <w:pPr>
              <w:jc w:val="center"/>
              <w:rPr>
                <w:rFonts w:ascii="Verdana" w:hAnsi="Verdana"/>
                <w:b/>
              </w:rPr>
            </w:pPr>
            <w:r w:rsidRPr="000E6026">
              <w:rPr>
                <w:rFonts w:ascii="Verdana" w:hAnsi="Verdana"/>
                <w:b/>
              </w:rPr>
              <w:t>%</w:t>
            </w:r>
          </w:p>
          <w:p w14:paraId="76C80010" w14:textId="77777777" w:rsidR="00C3258E" w:rsidRDefault="00C3258E" w:rsidP="00C3258E">
            <w:pPr>
              <w:jc w:val="center"/>
              <w:rPr>
                <w:rFonts w:ascii="Verdana" w:hAnsi="Verdana"/>
              </w:rPr>
            </w:pPr>
          </w:p>
        </w:tc>
        <w:tc>
          <w:tcPr>
            <w:tcW w:w="2127" w:type="dxa"/>
          </w:tcPr>
          <w:p w14:paraId="71B75E5F" w14:textId="53BC1DDF" w:rsidR="00C3258E" w:rsidRDefault="00C3258E" w:rsidP="00C3258E">
            <w:pPr>
              <w:jc w:val="center"/>
              <w:rPr>
                <w:rFonts w:ascii="Verdana" w:hAnsi="Verdana"/>
              </w:rPr>
            </w:pPr>
            <w:r>
              <w:rPr>
                <w:rFonts w:ascii="Verdana" w:hAnsi="Verdana"/>
                <w:b/>
              </w:rPr>
              <w:t>Comments</w:t>
            </w:r>
          </w:p>
        </w:tc>
      </w:tr>
      <w:tr w:rsidR="00C3258E" w:rsidRPr="00FD4019" w14:paraId="0EE47904" w14:textId="77777777" w:rsidTr="00876574">
        <w:tc>
          <w:tcPr>
            <w:tcW w:w="562" w:type="dxa"/>
          </w:tcPr>
          <w:p w14:paraId="0B39868E" w14:textId="77777777" w:rsidR="00C3258E" w:rsidRDefault="00C3258E" w:rsidP="00C3258E">
            <w:pPr>
              <w:rPr>
                <w:color w:val="FF0000"/>
              </w:rPr>
            </w:pPr>
          </w:p>
        </w:tc>
        <w:tc>
          <w:tcPr>
            <w:tcW w:w="1843" w:type="dxa"/>
          </w:tcPr>
          <w:p w14:paraId="046589D1" w14:textId="77777777" w:rsidR="00876574" w:rsidRPr="00EA2CE0" w:rsidRDefault="00876574" w:rsidP="00876574">
            <w:pPr>
              <w:rPr>
                <w:rFonts w:ascii="Verdana" w:hAnsi="Verdana"/>
              </w:rPr>
            </w:pPr>
            <w:r w:rsidRPr="00EA2CE0">
              <w:rPr>
                <w:rFonts w:ascii="Verdana" w:hAnsi="Verdana"/>
              </w:rPr>
              <w:t>Internal Progression</w:t>
            </w:r>
          </w:p>
          <w:p w14:paraId="38EBBB45" w14:textId="77777777" w:rsidR="00C3258E" w:rsidRPr="000E6026" w:rsidRDefault="00C3258E" w:rsidP="00C3258E">
            <w:pPr>
              <w:rPr>
                <w:rFonts w:ascii="Verdana" w:hAnsi="Verdana"/>
                <w:b/>
              </w:rPr>
            </w:pPr>
          </w:p>
        </w:tc>
        <w:tc>
          <w:tcPr>
            <w:tcW w:w="2126" w:type="dxa"/>
          </w:tcPr>
          <w:p w14:paraId="467C1D0F" w14:textId="77777777" w:rsidR="00C3258E" w:rsidRPr="00FD4019" w:rsidRDefault="00C3258E" w:rsidP="00C3258E">
            <w:pPr>
              <w:rPr>
                <w:rFonts w:ascii="Verdana" w:hAnsi="Verdana"/>
              </w:rPr>
            </w:pPr>
            <w:r w:rsidRPr="00FD4019">
              <w:rPr>
                <w:rFonts w:ascii="Verdana" w:hAnsi="Verdana"/>
              </w:rPr>
              <w:t>% of students progressing from A level year 1 to A-level year 2</w:t>
            </w:r>
          </w:p>
          <w:p w14:paraId="22739DDF" w14:textId="77777777" w:rsidR="00C3258E" w:rsidRPr="00FD4019" w:rsidRDefault="00C3258E" w:rsidP="00C3258E">
            <w:pPr>
              <w:rPr>
                <w:rFonts w:ascii="Verdana" w:hAnsi="Verdana"/>
                <w:b/>
              </w:rPr>
            </w:pPr>
          </w:p>
        </w:tc>
        <w:tc>
          <w:tcPr>
            <w:tcW w:w="1418" w:type="dxa"/>
            <w:vAlign w:val="center"/>
          </w:tcPr>
          <w:p w14:paraId="09E268FE" w14:textId="77777777" w:rsidR="00C3258E" w:rsidRPr="00FD4019" w:rsidRDefault="00C3258E" w:rsidP="00C3258E">
            <w:pPr>
              <w:jc w:val="center"/>
              <w:rPr>
                <w:rFonts w:ascii="Verdana" w:hAnsi="Verdana"/>
              </w:rPr>
            </w:pPr>
            <w:r w:rsidRPr="00FD4019">
              <w:rPr>
                <w:rFonts w:ascii="Verdana" w:hAnsi="Verdana"/>
              </w:rPr>
              <w:t>86%</w:t>
            </w:r>
          </w:p>
          <w:p w14:paraId="0415D621" w14:textId="77777777" w:rsidR="00C3258E" w:rsidRPr="00FD4019" w:rsidRDefault="00C3258E" w:rsidP="00C3258E">
            <w:pPr>
              <w:jc w:val="center"/>
              <w:rPr>
                <w:rFonts w:ascii="Verdana" w:hAnsi="Verdana"/>
              </w:rPr>
            </w:pPr>
          </w:p>
        </w:tc>
        <w:tc>
          <w:tcPr>
            <w:tcW w:w="1417" w:type="dxa"/>
            <w:vAlign w:val="center"/>
          </w:tcPr>
          <w:p w14:paraId="487C2A2F" w14:textId="0522672B" w:rsidR="00C3258E" w:rsidRPr="00FD4019" w:rsidRDefault="00C3258E" w:rsidP="00C3258E">
            <w:pPr>
              <w:jc w:val="center"/>
              <w:rPr>
                <w:rFonts w:ascii="Verdana" w:hAnsi="Verdana"/>
              </w:rPr>
            </w:pPr>
            <w:r>
              <w:rPr>
                <w:rFonts w:ascii="Verdana" w:hAnsi="Verdana"/>
              </w:rPr>
              <w:t>88</w:t>
            </w:r>
            <w:r w:rsidRPr="00FD4019">
              <w:rPr>
                <w:rFonts w:ascii="Verdana" w:hAnsi="Verdana"/>
              </w:rPr>
              <w:t>%</w:t>
            </w:r>
          </w:p>
          <w:p w14:paraId="5E6B336D" w14:textId="77777777" w:rsidR="00C3258E" w:rsidRPr="00FD4019" w:rsidRDefault="00C3258E" w:rsidP="00C3258E">
            <w:pPr>
              <w:jc w:val="center"/>
              <w:rPr>
                <w:rFonts w:ascii="Verdana" w:hAnsi="Verdana"/>
              </w:rPr>
            </w:pPr>
          </w:p>
        </w:tc>
        <w:tc>
          <w:tcPr>
            <w:tcW w:w="2127" w:type="dxa"/>
          </w:tcPr>
          <w:p w14:paraId="16522009" w14:textId="77777777" w:rsidR="00C3258E" w:rsidRDefault="00C3258E" w:rsidP="00C3258E">
            <w:pPr>
              <w:jc w:val="center"/>
              <w:rPr>
                <w:rFonts w:ascii="Verdana" w:hAnsi="Verdana"/>
              </w:rPr>
            </w:pPr>
          </w:p>
          <w:p w14:paraId="67A3B85B" w14:textId="77777777" w:rsidR="00C3258E" w:rsidRPr="00FD4019" w:rsidRDefault="00C3258E" w:rsidP="00C3258E">
            <w:pPr>
              <w:jc w:val="center"/>
              <w:rPr>
                <w:rFonts w:ascii="Verdana" w:hAnsi="Verdana"/>
              </w:rPr>
            </w:pPr>
          </w:p>
        </w:tc>
      </w:tr>
      <w:tr w:rsidR="00C3258E" w:rsidRPr="00FD4019" w14:paraId="0531E8DA" w14:textId="77777777" w:rsidTr="00876574">
        <w:tc>
          <w:tcPr>
            <w:tcW w:w="562" w:type="dxa"/>
          </w:tcPr>
          <w:p w14:paraId="6E034EE4" w14:textId="77777777" w:rsidR="00C3258E" w:rsidRDefault="00C3258E" w:rsidP="00C3258E">
            <w:pPr>
              <w:rPr>
                <w:color w:val="FF0000"/>
              </w:rPr>
            </w:pPr>
          </w:p>
        </w:tc>
        <w:tc>
          <w:tcPr>
            <w:tcW w:w="1843" w:type="dxa"/>
          </w:tcPr>
          <w:p w14:paraId="0FF662C3" w14:textId="77777777" w:rsidR="00C3258E" w:rsidRPr="00EA2CE0" w:rsidRDefault="00C3258E" w:rsidP="00C3258E">
            <w:pPr>
              <w:rPr>
                <w:rFonts w:ascii="Verdana" w:hAnsi="Verdana"/>
              </w:rPr>
            </w:pPr>
          </w:p>
        </w:tc>
        <w:tc>
          <w:tcPr>
            <w:tcW w:w="2126" w:type="dxa"/>
          </w:tcPr>
          <w:p w14:paraId="7A3795E6" w14:textId="77777777" w:rsidR="00C3258E" w:rsidRPr="00FD4019" w:rsidRDefault="00C3258E" w:rsidP="00C3258E">
            <w:pPr>
              <w:rPr>
                <w:rFonts w:ascii="Verdana" w:hAnsi="Verdana"/>
                <w:b/>
              </w:rPr>
            </w:pPr>
            <w:r w:rsidRPr="00FD4019">
              <w:rPr>
                <w:rFonts w:ascii="Verdana" w:hAnsi="Verdana"/>
              </w:rPr>
              <w:t>% of students progressing from A Level Year 1 in total</w:t>
            </w:r>
            <w:r w:rsidRPr="00FD4019">
              <w:rPr>
                <w:rFonts w:ascii="Verdana" w:hAnsi="Verdana"/>
                <w:b/>
              </w:rPr>
              <w:t xml:space="preserve"> </w:t>
            </w:r>
          </w:p>
          <w:p w14:paraId="417E8833" w14:textId="195BA885" w:rsidR="00C3258E" w:rsidRPr="00606929" w:rsidRDefault="00C3258E" w:rsidP="00C3258E">
            <w:pPr>
              <w:rPr>
                <w:rFonts w:ascii="Verdana" w:hAnsi="Verdana"/>
                <w:sz w:val="20"/>
                <w:szCs w:val="20"/>
              </w:rPr>
            </w:pPr>
          </w:p>
        </w:tc>
        <w:tc>
          <w:tcPr>
            <w:tcW w:w="1418" w:type="dxa"/>
          </w:tcPr>
          <w:p w14:paraId="4DE28E85" w14:textId="77777777" w:rsidR="00C3258E" w:rsidRDefault="00C3258E" w:rsidP="00C3258E">
            <w:pPr>
              <w:jc w:val="center"/>
              <w:rPr>
                <w:rFonts w:ascii="Verdana" w:hAnsi="Verdana"/>
              </w:rPr>
            </w:pPr>
          </w:p>
          <w:p w14:paraId="078271A4" w14:textId="77777777" w:rsidR="00C3258E" w:rsidRDefault="00C3258E" w:rsidP="00C3258E">
            <w:pPr>
              <w:jc w:val="center"/>
              <w:rPr>
                <w:rFonts w:ascii="Verdana" w:hAnsi="Verdana"/>
              </w:rPr>
            </w:pPr>
          </w:p>
          <w:p w14:paraId="4CCBFAC0" w14:textId="324E5494" w:rsidR="00C3258E" w:rsidRDefault="00C3258E" w:rsidP="00C3258E">
            <w:pPr>
              <w:jc w:val="center"/>
              <w:rPr>
                <w:rFonts w:ascii="Verdana" w:hAnsi="Verdana"/>
              </w:rPr>
            </w:pPr>
            <w:r>
              <w:rPr>
                <w:rFonts w:ascii="Verdana" w:hAnsi="Verdana"/>
              </w:rPr>
              <w:t>90%</w:t>
            </w:r>
          </w:p>
        </w:tc>
        <w:tc>
          <w:tcPr>
            <w:tcW w:w="1417" w:type="dxa"/>
          </w:tcPr>
          <w:p w14:paraId="2E3BD8E1" w14:textId="37E4E2CC" w:rsidR="00C3258E" w:rsidRDefault="00C3258E" w:rsidP="00C3258E">
            <w:pPr>
              <w:jc w:val="center"/>
              <w:rPr>
                <w:rFonts w:ascii="Verdana" w:hAnsi="Verdana"/>
              </w:rPr>
            </w:pPr>
          </w:p>
          <w:p w14:paraId="48FC0D19" w14:textId="77777777" w:rsidR="00C3258E" w:rsidRDefault="00C3258E" w:rsidP="00C3258E">
            <w:pPr>
              <w:jc w:val="center"/>
              <w:rPr>
                <w:rFonts w:ascii="Verdana" w:hAnsi="Verdana"/>
              </w:rPr>
            </w:pPr>
          </w:p>
          <w:p w14:paraId="088F5E5D" w14:textId="0FCD3E0B" w:rsidR="00C3258E" w:rsidRDefault="00C3258E" w:rsidP="00C3258E">
            <w:pPr>
              <w:jc w:val="center"/>
              <w:rPr>
                <w:rFonts w:ascii="Verdana" w:hAnsi="Verdana"/>
              </w:rPr>
            </w:pPr>
            <w:r>
              <w:rPr>
                <w:rFonts w:ascii="Verdana" w:hAnsi="Verdana"/>
              </w:rPr>
              <w:t>92%</w:t>
            </w:r>
          </w:p>
        </w:tc>
        <w:tc>
          <w:tcPr>
            <w:tcW w:w="2127" w:type="dxa"/>
          </w:tcPr>
          <w:p w14:paraId="671AAB7E" w14:textId="77777777" w:rsidR="00C3258E" w:rsidRPr="00FD4019" w:rsidRDefault="00C3258E" w:rsidP="00C3258E">
            <w:pPr>
              <w:jc w:val="center"/>
              <w:rPr>
                <w:rFonts w:ascii="Verdana" w:hAnsi="Verdana"/>
              </w:rPr>
            </w:pPr>
          </w:p>
        </w:tc>
      </w:tr>
      <w:tr w:rsidR="00C3258E" w14:paraId="50643A2C" w14:textId="77777777" w:rsidTr="00876574">
        <w:tc>
          <w:tcPr>
            <w:tcW w:w="562" w:type="dxa"/>
          </w:tcPr>
          <w:p w14:paraId="2C2A778E" w14:textId="77777777" w:rsidR="00C3258E" w:rsidRDefault="00C3258E" w:rsidP="00C3258E">
            <w:pPr>
              <w:rPr>
                <w:color w:val="FF0000"/>
              </w:rPr>
            </w:pPr>
          </w:p>
        </w:tc>
        <w:tc>
          <w:tcPr>
            <w:tcW w:w="1843" w:type="dxa"/>
          </w:tcPr>
          <w:p w14:paraId="74395B99" w14:textId="77777777" w:rsidR="00C3258E" w:rsidRPr="00EA2CE0" w:rsidRDefault="00C3258E" w:rsidP="00C3258E">
            <w:pPr>
              <w:rPr>
                <w:rFonts w:ascii="Verdana" w:hAnsi="Verdana"/>
              </w:rPr>
            </w:pPr>
          </w:p>
        </w:tc>
        <w:tc>
          <w:tcPr>
            <w:tcW w:w="2126" w:type="dxa"/>
          </w:tcPr>
          <w:p w14:paraId="577BF4B1" w14:textId="77777777" w:rsidR="00C3258E" w:rsidRDefault="00C3258E" w:rsidP="00C3258E">
            <w:pPr>
              <w:rPr>
                <w:rFonts w:ascii="Verdana" w:hAnsi="Verdana"/>
              </w:rPr>
            </w:pPr>
            <w:r w:rsidRPr="00EA2CE0">
              <w:rPr>
                <w:rFonts w:ascii="Verdana" w:hAnsi="Verdana"/>
              </w:rPr>
              <w:t>% of students progressing from L3 BTEC Y1 to Y2</w:t>
            </w:r>
          </w:p>
          <w:p w14:paraId="49670ABC" w14:textId="77777777" w:rsidR="00C3258E" w:rsidRPr="00EA2CE0" w:rsidRDefault="00C3258E" w:rsidP="00C3258E">
            <w:pPr>
              <w:rPr>
                <w:rFonts w:ascii="Verdana" w:hAnsi="Verdana"/>
              </w:rPr>
            </w:pPr>
          </w:p>
        </w:tc>
        <w:tc>
          <w:tcPr>
            <w:tcW w:w="1418" w:type="dxa"/>
          </w:tcPr>
          <w:p w14:paraId="29C1C71A" w14:textId="63807917" w:rsidR="00C3258E" w:rsidRPr="00EA2CE0" w:rsidRDefault="00C3258E" w:rsidP="00C3258E">
            <w:pPr>
              <w:jc w:val="center"/>
              <w:rPr>
                <w:rFonts w:ascii="Verdana" w:hAnsi="Verdana"/>
              </w:rPr>
            </w:pPr>
            <w:r>
              <w:rPr>
                <w:rFonts w:ascii="Verdana" w:hAnsi="Verdana"/>
              </w:rPr>
              <w:t>90</w:t>
            </w:r>
            <w:r w:rsidRPr="00EA2CE0">
              <w:rPr>
                <w:rFonts w:ascii="Verdana" w:hAnsi="Verdana"/>
              </w:rPr>
              <w:t>%</w:t>
            </w:r>
          </w:p>
          <w:p w14:paraId="2BBF868F" w14:textId="77777777" w:rsidR="00C3258E" w:rsidRDefault="00C3258E" w:rsidP="00C3258E">
            <w:pPr>
              <w:jc w:val="center"/>
              <w:rPr>
                <w:rFonts w:ascii="Verdana" w:hAnsi="Verdana"/>
              </w:rPr>
            </w:pPr>
          </w:p>
        </w:tc>
        <w:tc>
          <w:tcPr>
            <w:tcW w:w="1417" w:type="dxa"/>
          </w:tcPr>
          <w:p w14:paraId="11139F5F" w14:textId="1E75AA91" w:rsidR="00C3258E" w:rsidRPr="00EA2CE0" w:rsidRDefault="00C3258E" w:rsidP="00C3258E">
            <w:pPr>
              <w:jc w:val="center"/>
              <w:rPr>
                <w:rFonts w:ascii="Verdana" w:hAnsi="Verdana"/>
              </w:rPr>
            </w:pPr>
            <w:r>
              <w:rPr>
                <w:rFonts w:ascii="Verdana" w:hAnsi="Verdana"/>
              </w:rPr>
              <w:t>90%</w:t>
            </w:r>
          </w:p>
        </w:tc>
        <w:tc>
          <w:tcPr>
            <w:tcW w:w="2127" w:type="dxa"/>
          </w:tcPr>
          <w:p w14:paraId="3DE3348F" w14:textId="77777777" w:rsidR="00C3258E" w:rsidRDefault="00C3258E" w:rsidP="00C3258E">
            <w:pPr>
              <w:jc w:val="center"/>
              <w:rPr>
                <w:rFonts w:ascii="Verdana" w:hAnsi="Verdana"/>
              </w:rPr>
            </w:pPr>
          </w:p>
        </w:tc>
      </w:tr>
      <w:tr w:rsidR="00C3258E" w14:paraId="76E317A5" w14:textId="77777777" w:rsidTr="00876574">
        <w:tc>
          <w:tcPr>
            <w:tcW w:w="562" w:type="dxa"/>
          </w:tcPr>
          <w:p w14:paraId="30189D3A" w14:textId="77777777" w:rsidR="00C3258E" w:rsidRDefault="00C3258E" w:rsidP="00C3258E">
            <w:pPr>
              <w:rPr>
                <w:color w:val="FF0000"/>
              </w:rPr>
            </w:pPr>
          </w:p>
        </w:tc>
        <w:tc>
          <w:tcPr>
            <w:tcW w:w="1843" w:type="dxa"/>
          </w:tcPr>
          <w:p w14:paraId="3B547B7C" w14:textId="77777777" w:rsidR="00C3258E" w:rsidRPr="00EA2CE0" w:rsidRDefault="00C3258E" w:rsidP="00C3258E">
            <w:pPr>
              <w:rPr>
                <w:rFonts w:ascii="Verdana" w:hAnsi="Verdana"/>
              </w:rPr>
            </w:pPr>
          </w:p>
        </w:tc>
        <w:tc>
          <w:tcPr>
            <w:tcW w:w="2126" w:type="dxa"/>
          </w:tcPr>
          <w:p w14:paraId="33120D7A" w14:textId="77777777" w:rsidR="00C3258E" w:rsidRPr="00EA2CE0" w:rsidRDefault="00C3258E" w:rsidP="00C3258E">
            <w:pPr>
              <w:rPr>
                <w:rFonts w:ascii="Verdana" w:hAnsi="Verdana"/>
              </w:rPr>
            </w:pPr>
            <w:r w:rsidRPr="00EA2CE0">
              <w:rPr>
                <w:rFonts w:ascii="Verdana" w:hAnsi="Verdana"/>
              </w:rPr>
              <w:t>% of all students who could return to the college in the college in 18/19 who do</w:t>
            </w:r>
          </w:p>
        </w:tc>
        <w:tc>
          <w:tcPr>
            <w:tcW w:w="1418" w:type="dxa"/>
          </w:tcPr>
          <w:p w14:paraId="0A00014D" w14:textId="34CC9750" w:rsidR="00C3258E" w:rsidRPr="00EA2CE0" w:rsidRDefault="00C3258E" w:rsidP="00C3258E">
            <w:pPr>
              <w:jc w:val="center"/>
              <w:rPr>
                <w:rFonts w:ascii="Verdana" w:hAnsi="Verdana"/>
              </w:rPr>
            </w:pPr>
            <w:r>
              <w:rPr>
                <w:rFonts w:ascii="Verdana" w:hAnsi="Verdana"/>
              </w:rPr>
              <w:t>87</w:t>
            </w:r>
            <w:r w:rsidRPr="00EA2CE0">
              <w:rPr>
                <w:rFonts w:ascii="Verdana" w:hAnsi="Verdana"/>
              </w:rPr>
              <w:t>%</w:t>
            </w:r>
          </w:p>
          <w:p w14:paraId="6F734A7F" w14:textId="77777777" w:rsidR="00C3258E" w:rsidRDefault="00C3258E" w:rsidP="00C3258E">
            <w:pPr>
              <w:jc w:val="center"/>
              <w:rPr>
                <w:rFonts w:ascii="Verdana" w:hAnsi="Verdana"/>
              </w:rPr>
            </w:pPr>
          </w:p>
        </w:tc>
        <w:tc>
          <w:tcPr>
            <w:tcW w:w="1417" w:type="dxa"/>
          </w:tcPr>
          <w:p w14:paraId="569BDB75" w14:textId="72E7F521" w:rsidR="00C3258E" w:rsidRPr="00EA2CE0" w:rsidRDefault="00C3258E" w:rsidP="00C3258E">
            <w:pPr>
              <w:jc w:val="center"/>
              <w:rPr>
                <w:rFonts w:ascii="Verdana" w:hAnsi="Verdana"/>
              </w:rPr>
            </w:pPr>
            <w:r>
              <w:rPr>
                <w:rFonts w:ascii="Verdana" w:hAnsi="Verdana"/>
              </w:rPr>
              <w:t>87%</w:t>
            </w:r>
          </w:p>
        </w:tc>
        <w:tc>
          <w:tcPr>
            <w:tcW w:w="2127" w:type="dxa"/>
          </w:tcPr>
          <w:p w14:paraId="666CCC36" w14:textId="77777777" w:rsidR="00C3258E" w:rsidRDefault="00C3258E" w:rsidP="00C3258E">
            <w:pPr>
              <w:jc w:val="center"/>
              <w:rPr>
                <w:rFonts w:ascii="Verdana" w:hAnsi="Verdana"/>
              </w:rPr>
            </w:pPr>
          </w:p>
        </w:tc>
      </w:tr>
    </w:tbl>
    <w:p w14:paraId="2DD1A5EF" w14:textId="5ED78FAD" w:rsidR="0013381E" w:rsidRDefault="0013381E"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167A4" w:rsidRPr="006D35B2" w14:paraId="0BBE8414" w14:textId="77777777" w:rsidTr="00876574">
        <w:tc>
          <w:tcPr>
            <w:tcW w:w="529" w:type="dxa"/>
            <w:shd w:val="clear" w:color="auto" w:fill="auto"/>
            <w:tcMar>
              <w:top w:w="0" w:type="dxa"/>
              <w:left w:w="108" w:type="dxa"/>
              <w:bottom w:w="0" w:type="dxa"/>
              <w:right w:w="108" w:type="dxa"/>
            </w:tcMar>
          </w:tcPr>
          <w:p w14:paraId="44974840" w14:textId="77777777" w:rsidR="008167A4" w:rsidRDefault="008167A4" w:rsidP="008167A4">
            <w:pPr>
              <w:pStyle w:val="NoSpacing"/>
              <w:rPr>
                <w:b/>
              </w:rPr>
            </w:pPr>
          </w:p>
        </w:tc>
        <w:tc>
          <w:tcPr>
            <w:tcW w:w="8935" w:type="dxa"/>
            <w:shd w:val="clear" w:color="auto" w:fill="auto"/>
            <w:tcMar>
              <w:top w:w="0" w:type="dxa"/>
              <w:left w:w="108" w:type="dxa"/>
              <w:bottom w:w="0" w:type="dxa"/>
              <w:right w:w="108" w:type="dxa"/>
            </w:tcMar>
          </w:tcPr>
          <w:p w14:paraId="7ABBA539" w14:textId="656C3E8B" w:rsidR="008167A4" w:rsidRPr="006D35B2" w:rsidRDefault="00C3258E" w:rsidP="008167A4">
            <w:pPr>
              <w:rPr>
                <w:rFonts w:ascii="Verdana" w:hAnsi="Verdana"/>
              </w:rPr>
            </w:pPr>
            <w:r>
              <w:rPr>
                <w:rFonts w:ascii="Verdana" w:hAnsi="Verdana"/>
              </w:rPr>
              <w:t>T</w:t>
            </w:r>
            <w:r w:rsidR="008167A4">
              <w:rPr>
                <w:rFonts w:ascii="Verdana" w:hAnsi="Verdana"/>
              </w:rPr>
              <w:t>he targets for 2020-21 were approved on behalf of the Corporation.</w:t>
            </w:r>
          </w:p>
        </w:tc>
      </w:tr>
    </w:tbl>
    <w:p w14:paraId="6BE25567" w14:textId="77777777" w:rsidR="008167A4" w:rsidRDefault="008167A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167A4" w:rsidRPr="006D35B2" w14:paraId="3F837638" w14:textId="77777777" w:rsidTr="00876574">
        <w:tc>
          <w:tcPr>
            <w:tcW w:w="529" w:type="dxa"/>
            <w:shd w:val="clear" w:color="auto" w:fill="auto"/>
            <w:tcMar>
              <w:top w:w="0" w:type="dxa"/>
              <w:left w:w="108" w:type="dxa"/>
              <w:bottom w:w="0" w:type="dxa"/>
              <w:right w:w="108" w:type="dxa"/>
            </w:tcMar>
          </w:tcPr>
          <w:p w14:paraId="740992FA" w14:textId="0CB56D69" w:rsidR="008167A4" w:rsidRDefault="008167A4" w:rsidP="008167A4">
            <w:pPr>
              <w:pStyle w:val="NoSpacing"/>
              <w:rPr>
                <w:b/>
              </w:rPr>
            </w:pPr>
            <w:r>
              <w:rPr>
                <w:b/>
              </w:rPr>
              <w:t>9</w:t>
            </w:r>
          </w:p>
        </w:tc>
        <w:tc>
          <w:tcPr>
            <w:tcW w:w="8935" w:type="dxa"/>
            <w:shd w:val="clear" w:color="auto" w:fill="auto"/>
            <w:tcMar>
              <w:top w:w="0" w:type="dxa"/>
              <w:left w:w="108" w:type="dxa"/>
              <w:bottom w:w="0" w:type="dxa"/>
              <w:right w:w="108" w:type="dxa"/>
            </w:tcMar>
          </w:tcPr>
          <w:p w14:paraId="0924D078" w14:textId="77777777" w:rsidR="008167A4" w:rsidRDefault="008167A4" w:rsidP="008167A4">
            <w:pPr>
              <w:rPr>
                <w:rFonts w:ascii="Verdana" w:hAnsi="Verdana"/>
                <w:b/>
              </w:rPr>
            </w:pPr>
            <w:r>
              <w:rPr>
                <w:rFonts w:ascii="Verdana" w:hAnsi="Verdana"/>
                <w:b/>
              </w:rPr>
              <w:t>Student Survey Report</w:t>
            </w:r>
          </w:p>
          <w:p w14:paraId="119A54B0" w14:textId="110A5E9F" w:rsidR="008167A4" w:rsidRDefault="008167A4" w:rsidP="008167A4">
            <w:pPr>
              <w:rPr>
                <w:rFonts w:ascii="Verdana" w:hAnsi="Verdana"/>
              </w:rPr>
            </w:pPr>
          </w:p>
          <w:p w14:paraId="594BB6F4" w14:textId="7619488E" w:rsidR="008167A4" w:rsidRDefault="008167A4" w:rsidP="008167A4">
            <w:pPr>
              <w:rPr>
                <w:rFonts w:ascii="Verdana" w:hAnsi="Verdana"/>
              </w:rPr>
            </w:pPr>
            <w:r>
              <w:rPr>
                <w:rFonts w:ascii="Verdana" w:hAnsi="Verdana"/>
              </w:rPr>
              <w:t>A report prepared by the Vice-Principal (</w:t>
            </w:r>
            <w:r w:rsidRPr="00FE7EDC">
              <w:rPr>
                <w:rFonts w:ascii="Verdana" w:hAnsi="Verdana"/>
              </w:rPr>
              <w:t>Student S</w:t>
            </w:r>
            <w:r>
              <w:rPr>
                <w:rFonts w:ascii="Verdana" w:hAnsi="Verdana"/>
              </w:rPr>
              <w:t>ervices and Recruitment) was received and considered.</w:t>
            </w:r>
          </w:p>
          <w:p w14:paraId="66C09F36" w14:textId="06A8CC96" w:rsidR="008167A4" w:rsidRDefault="008167A4" w:rsidP="008167A4">
            <w:pPr>
              <w:rPr>
                <w:rFonts w:ascii="Verdana" w:hAnsi="Verdana"/>
              </w:rPr>
            </w:pPr>
          </w:p>
          <w:p w14:paraId="74E99198" w14:textId="0C7A6C92" w:rsidR="008167A4" w:rsidRPr="006D35B2" w:rsidRDefault="008167A4" w:rsidP="008167A4">
            <w:pPr>
              <w:rPr>
                <w:rFonts w:ascii="Verdana" w:hAnsi="Verdana"/>
              </w:rPr>
            </w:pPr>
            <w:r>
              <w:rPr>
                <w:rFonts w:ascii="Verdana" w:hAnsi="Verdana"/>
              </w:rPr>
              <w:t>It was noted that:</w:t>
            </w:r>
          </w:p>
        </w:tc>
      </w:tr>
    </w:tbl>
    <w:p w14:paraId="653EB6D0" w14:textId="31F82C8B" w:rsidR="008167A4" w:rsidRDefault="008167A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8167A4" w:rsidRPr="007663F3" w14:paraId="2612BB4B" w14:textId="77777777" w:rsidTr="00876574">
        <w:tc>
          <w:tcPr>
            <w:tcW w:w="534" w:type="dxa"/>
          </w:tcPr>
          <w:p w14:paraId="43B6244E" w14:textId="77777777" w:rsidR="008167A4" w:rsidRPr="000079FB" w:rsidRDefault="008167A4" w:rsidP="008167A4">
            <w:pPr>
              <w:rPr>
                <w:rFonts w:ascii="Verdana" w:hAnsi="Verdana"/>
              </w:rPr>
            </w:pPr>
          </w:p>
        </w:tc>
        <w:tc>
          <w:tcPr>
            <w:tcW w:w="312" w:type="dxa"/>
          </w:tcPr>
          <w:p w14:paraId="3D9B9E7A" w14:textId="77777777" w:rsidR="008167A4" w:rsidRPr="000079FB" w:rsidRDefault="008167A4" w:rsidP="008167A4">
            <w:pPr>
              <w:rPr>
                <w:rFonts w:ascii="Verdana" w:hAnsi="Verdana"/>
                <w:b/>
              </w:rPr>
            </w:pPr>
            <w:r w:rsidRPr="000079FB">
              <w:rPr>
                <w:rFonts w:ascii="Verdana" w:hAnsi="Verdana"/>
                <w:b/>
              </w:rPr>
              <w:t>.</w:t>
            </w:r>
          </w:p>
        </w:tc>
        <w:tc>
          <w:tcPr>
            <w:tcW w:w="8618" w:type="dxa"/>
          </w:tcPr>
          <w:p w14:paraId="5C81997E" w14:textId="1D852E9F" w:rsidR="008167A4" w:rsidRDefault="008167A4" w:rsidP="008167A4">
            <w:pPr>
              <w:pStyle w:val="NoSpacing"/>
            </w:pPr>
            <w:r>
              <w:t xml:space="preserve">the survey </w:t>
            </w:r>
            <w:r w:rsidR="00C355EA">
              <w:t>had been</w:t>
            </w:r>
            <w:r>
              <w:t xml:space="preserve"> conducted in June 2020;</w:t>
            </w:r>
          </w:p>
          <w:p w14:paraId="36779EC5" w14:textId="73C80C02" w:rsidR="00FD29AA" w:rsidRPr="007663F3" w:rsidRDefault="00FD29AA" w:rsidP="008167A4">
            <w:pPr>
              <w:pStyle w:val="NoSpacing"/>
            </w:pPr>
          </w:p>
        </w:tc>
      </w:tr>
      <w:tr w:rsidR="008167A4" w:rsidRPr="00AE6B57" w14:paraId="4C77CDEA" w14:textId="77777777" w:rsidTr="00876574">
        <w:tc>
          <w:tcPr>
            <w:tcW w:w="534" w:type="dxa"/>
          </w:tcPr>
          <w:p w14:paraId="37A7E9EA" w14:textId="77777777" w:rsidR="008167A4" w:rsidRPr="000079FB" w:rsidRDefault="008167A4" w:rsidP="008167A4">
            <w:pPr>
              <w:rPr>
                <w:rFonts w:ascii="Verdana" w:hAnsi="Verdana"/>
              </w:rPr>
            </w:pPr>
          </w:p>
        </w:tc>
        <w:tc>
          <w:tcPr>
            <w:tcW w:w="312" w:type="dxa"/>
          </w:tcPr>
          <w:p w14:paraId="3FC57C4A" w14:textId="77777777" w:rsidR="008167A4" w:rsidRPr="000079FB" w:rsidRDefault="008167A4" w:rsidP="008167A4">
            <w:pPr>
              <w:rPr>
                <w:rFonts w:ascii="Verdana" w:hAnsi="Verdana"/>
                <w:b/>
              </w:rPr>
            </w:pPr>
            <w:r>
              <w:rPr>
                <w:rFonts w:ascii="Verdana" w:hAnsi="Verdana"/>
                <w:b/>
              </w:rPr>
              <w:t>.</w:t>
            </w:r>
          </w:p>
        </w:tc>
        <w:tc>
          <w:tcPr>
            <w:tcW w:w="8618" w:type="dxa"/>
          </w:tcPr>
          <w:p w14:paraId="3E084BF5" w14:textId="0E21AEAD" w:rsidR="008167A4" w:rsidRPr="00FD29AA" w:rsidRDefault="008167A4" w:rsidP="008167A4">
            <w:pPr>
              <w:rPr>
                <w:rFonts w:ascii="Verdana" w:hAnsi="Verdana"/>
                <w:i/>
                <w:iCs/>
              </w:rPr>
            </w:pPr>
            <w:r>
              <w:rPr>
                <w:rFonts w:ascii="Verdana" w:hAnsi="Verdana"/>
              </w:rPr>
              <w:t xml:space="preserve">given that the College </w:t>
            </w:r>
            <w:r w:rsidR="00C355EA">
              <w:rPr>
                <w:rFonts w:ascii="Verdana" w:hAnsi="Verdana"/>
              </w:rPr>
              <w:t>had been</w:t>
            </w:r>
            <w:r>
              <w:rPr>
                <w:rFonts w:ascii="Verdana" w:hAnsi="Verdana"/>
              </w:rPr>
              <w:t xml:space="preserve"> operating </w:t>
            </w:r>
            <w:r w:rsidR="00FD29AA">
              <w:rPr>
                <w:rFonts w:ascii="Verdana" w:hAnsi="Verdana"/>
              </w:rPr>
              <w:t>virtually at the time of the survey</w:t>
            </w:r>
            <w:r>
              <w:rPr>
                <w:rFonts w:ascii="Verdana" w:hAnsi="Verdana"/>
              </w:rPr>
              <w:t>, a response rate of 60% is regarded as encouraging;</w:t>
            </w:r>
            <w:r w:rsidR="00FD29AA">
              <w:rPr>
                <w:rFonts w:ascii="Verdana" w:hAnsi="Verdana"/>
              </w:rPr>
              <w:t xml:space="preserve"> </w:t>
            </w:r>
            <w:r w:rsidR="00FD29AA">
              <w:rPr>
                <w:rFonts w:ascii="Verdana" w:hAnsi="Verdana"/>
                <w:i/>
                <w:iCs/>
              </w:rPr>
              <w:t>and</w:t>
            </w:r>
          </w:p>
          <w:p w14:paraId="6542BDCA" w14:textId="5EE97A5E" w:rsidR="00FD29AA" w:rsidRPr="00AE6B57" w:rsidRDefault="00FD29AA" w:rsidP="008167A4">
            <w:pPr>
              <w:rPr>
                <w:rFonts w:ascii="Verdana" w:hAnsi="Verdana"/>
              </w:rPr>
            </w:pPr>
          </w:p>
        </w:tc>
      </w:tr>
      <w:tr w:rsidR="008167A4" w:rsidRPr="00AE6B57" w14:paraId="2D640AAA" w14:textId="77777777" w:rsidTr="00876574">
        <w:tc>
          <w:tcPr>
            <w:tcW w:w="534" w:type="dxa"/>
          </w:tcPr>
          <w:p w14:paraId="2B237A8D" w14:textId="77777777" w:rsidR="008167A4" w:rsidRPr="00AE6B57" w:rsidRDefault="008167A4" w:rsidP="008167A4">
            <w:pPr>
              <w:rPr>
                <w:rFonts w:ascii="Verdana" w:hAnsi="Verdana"/>
              </w:rPr>
            </w:pPr>
          </w:p>
        </w:tc>
        <w:tc>
          <w:tcPr>
            <w:tcW w:w="312" w:type="dxa"/>
          </w:tcPr>
          <w:p w14:paraId="0B214652" w14:textId="77777777" w:rsidR="008167A4" w:rsidRPr="00AE6B57" w:rsidRDefault="008167A4" w:rsidP="008167A4">
            <w:pPr>
              <w:rPr>
                <w:rFonts w:ascii="Verdana" w:hAnsi="Verdana"/>
                <w:b/>
              </w:rPr>
            </w:pPr>
            <w:r w:rsidRPr="00AE6B57">
              <w:rPr>
                <w:rFonts w:ascii="Verdana" w:hAnsi="Verdana"/>
                <w:b/>
              </w:rPr>
              <w:t>.</w:t>
            </w:r>
          </w:p>
        </w:tc>
        <w:tc>
          <w:tcPr>
            <w:tcW w:w="8618" w:type="dxa"/>
          </w:tcPr>
          <w:p w14:paraId="330DA447" w14:textId="46B65632" w:rsidR="008167A4" w:rsidRPr="00FD29AA" w:rsidRDefault="008167A4" w:rsidP="008167A4">
            <w:pPr>
              <w:rPr>
                <w:rFonts w:ascii="Verdana" w:hAnsi="Verdana"/>
              </w:rPr>
            </w:pPr>
            <w:r w:rsidRPr="00FD29AA">
              <w:rPr>
                <w:rFonts w:ascii="Verdana" w:hAnsi="Verdana"/>
              </w:rPr>
              <w:t xml:space="preserve">the unusual circumstances </w:t>
            </w:r>
            <w:r w:rsidR="00FD29AA">
              <w:rPr>
                <w:rFonts w:ascii="Verdana" w:hAnsi="Verdana"/>
              </w:rPr>
              <w:t>during</w:t>
            </w:r>
            <w:r w:rsidRPr="00FD29AA">
              <w:rPr>
                <w:rFonts w:ascii="Verdana" w:hAnsi="Verdana"/>
              </w:rPr>
              <w:t xml:space="preserve"> which the survey was conducted </w:t>
            </w:r>
            <w:r w:rsidR="00FD29AA">
              <w:rPr>
                <w:rFonts w:ascii="Verdana" w:hAnsi="Verdana"/>
              </w:rPr>
              <w:t>does not enable</w:t>
            </w:r>
            <w:r w:rsidRPr="00FD29AA">
              <w:rPr>
                <w:rFonts w:ascii="Verdana" w:hAnsi="Verdana"/>
              </w:rPr>
              <w:t xml:space="preserve"> its results </w:t>
            </w:r>
            <w:r w:rsidR="00FD29AA">
              <w:rPr>
                <w:rFonts w:ascii="Verdana" w:hAnsi="Verdana"/>
              </w:rPr>
              <w:t>to be compared</w:t>
            </w:r>
            <w:r w:rsidRPr="00FD29AA">
              <w:rPr>
                <w:rFonts w:ascii="Verdana" w:hAnsi="Verdana"/>
              </w:rPr>
              <w:t xml:space="preserve"> to </w:t>
            </w:r>
            <w:r w:rsidR="00FD29AA">
              <w:rPr>
                <w:rFonts w:ascii="Verdana" w:hAnsi="Verdana"/>
              </w:rPr>
              <w:t xml:space="preserve">those </w:t>
            </w:r>
            <w:r w:rsidR="004D3EBF">
              <w:rPr>
                <w:rFonts w:ascii="Verdana" w:hAnsi="Verdana"/>
              </w:rPr>
              <w:t>of</w:t>
            </w:r>
            <w:r w:rsidR="00FD29AA">
              <w:rPr>
                <w:rFonts w:ascii="Verdana" w:hAnsi="Verdana"/>
              </w:rPr>
              <w:t xml:space="preserve"> </w:t>
            </w:r>
            <w:r w:rsidRPr="00FD29AA">
              <w:rPr>
                <w:rFonts w:ascii="Verdana" w:hAnsi="Verdana"/>
              </w:rPr>
              <w:t>previous surveys</w:t>
            </w:r>
            <w:r w:rsidR="00FD29AA" w:rsidRPr="00FD29AA">
              <w:rPr>
                <w:rFonts w:ascii="Verdana" w:hAnsi="Verdana"/>
              </w:rPr>
              <w:t xml:space="preserve">, but </w:t>
            </w:r>
            <w:r w:rsidR="00FD29AA">
              <w:rPr>
                <w:rFonts w:ascii="Verdana" w:hAnsi="Verdana"/>
              </w:rPr>
              <w:t>the data</w:t>
            </w:r>
            <w:r w:rsidR="00FD29AA" w:rsidRPr="00FD29AA">
              <w:rPr>
                <w:rFonts w:ascii="Verdana" w:hAnsi="Verdana"/>
              </w:rPr>
              <w:t xml:space="preserve"> </w:t>
            </w:r>
            <w:r w:rsidR="00FD29AA">
              <w:rPr>
                <w:rFonts w:ascii="Verdana" w:hAnsi="Verdana"/>
              </w:rPr>
              <w:t>provide</w:t>
            </w:r>
            <w:r w:rsidR="00FD29AA" w:rsidRPr="00FD29AA">
              <w:rPr>
                <w:rFonts w:ascii="Verdana" w:hAnsi="Verdana"/>
              </w:rPr>
              <w:t xml:space="preserve"> evidence </w:t>
            </w:r>
            <w:r w:rsidR="00FD29AA">
              <w:rPr>
                <w:rFonts w:ascii="Verdana" w:hAnsi="Verdana"/>
              </w:rPr>
              <w:t>of</w:t>
            </w:r>
            <w:r w:rsidR="00FD29AA" w:rsidRPr="00FD29AA">
              <w:rPr>
                <w:rFonts w:ascii="Verdana" w:hAnsi="Verdana"/>
              </w:rPr>
              <w:t xml:space="preserve"> the quality of the College’s curriculum and support services during the closure period.</w:t>
            </w:r>
          </w:p>
        </w:tc>
      </w:tr>
    </w:tbl>
    <w:p w14:paraId="379064F6" w14:textId="77777777" w:rsidR="00876574" w:rsidRDefault="0087657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FD29AA" w:rsidRPr="006D35B2" w14:paraId="09082BFE" w14:textId="77777777" w:rsidTr="00876574">
        <w:tc>
          <w:tcPr>
            <w:tcW w:w="529" w:type="dxa"/>
            <w:shd w:val="clear" w:color="auto" w:fill="auto"/>
            <w:tcMar>
              <w:top w:w="0" w:type="dxa"/>
              <w:left w:w="108" w:type="dxa"/>
              <w:bottom w:w="0" w:type="dxa"/>
              <w:right w:w="108" w:type="dxa"/>
            </w:tcMar>
          </w:tcPr>
          <w:p w14:paraId="792986FB" w14:textId="3E826850" w:rsidR="00FD29AA" w:rsidRDefault="00FD29AA" w:rsidP="00BA178E">
            <w:pPr>
              <w:pStyle w:val="NoSpacing"/>
              <w:rPr>
                <w:b/>
              </w:rPr>
            </w:pPr>
          </w:p>
        </w:tc>
        <w:tc>
          <w:tcPr>
            <w:tcW w:w="8935" w:type="dxa"/>
            <w:shd w:val="clear" w:color="auto" w:fill="auto"/>
            <w:tcMar>
              <w:top w:w="0" w:type="dxa"/>
              <w:left w:w="108" w:type="dxa"/>
              <w:bottom w:w="0" w:type="dxa"/>
              <w:right w:w="108" w:type="dxa"/>
            </w:tcMar>
          </w:tcPr>
          <w:p w14:paraId="28C42D3C" w14:textId="6A8A350F" w:rsidR="00FD29AA" w:rsidRPr="006D35B2" w:rsidRDefault="00FD29AA" w:rsidP="00BA178E">
            <w:pPr>
              <w:rPr>
                <w:rFonts w:ascii="Verdana" w:hAnsi="Verdana"/>
              </w:rPr>
            </w:pPr>
            <w:r>
              <w:rPr>
                <w:rFonts w:ascii="Verdana" w:hAnsi="Verdana"/>
              </w:rPr>
              <w:t xml:space="preserve">It was specifically noted that: </w:t>
            </w:r>
          </w:p>
        </w:tc>
      </w:tr>
    </w:tbl>
    <w:p w14:paraId="3B171497" w14:textId="77777777" w:rsidR="00FD29AA" w:rsidRDefault="00FD29AA"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FD29AA" w:rsidRPr="007663F3" w14:paraId="2BE88186" w14:textId="77777777" w:rsidTr="00876574">
        <w:tc>
          <w:tcPr>
            <w:tcW w:w="534" w:type="dxa"/>
          </w:tcPr>
          <w:p w14:paraId="16468450" w14:textId="77777777" w:rsidR="00FD29AA" w:rsidRPr="000079FB" w:rsidRDefault="00FD29AA" w:rsidP="00BA178E">
            <w:pPr>
              <w:rPr>
                <w:rFonts w:ascii="Verdana" w:hAnsi="Verdana"/>
              </w:rPr>
            </w:pPr>
          </w:p>
        </w:tc>
        <w:tc>
          <w:tcPr>
            <w:tcW w:w="312" w:type="dxa"/>
          </w:tcPr>
          <w:p w14:paraId="2A4EB014" w14:textId="77777777" w:rsidR="00FD29AA" w:rsidRPr="000079FB" w:rsidRDefault="00FD29AA" w:rsidP="00BA178E">
            <w:pPr>
              <w:rPr>
                <w:rFonts w:ascii="Verdana" w:hAnsi="Verdana"/>
                <w:b/>
              </w:rPr>
            </w:pPr>
            <w:r w:rsidRPr="000079FB">
              <w:rPr>
                <w:rFonts w:ascii="Verdana" w:hAnsi="Verdana"/>
                <w:b/>
              </w:rPr>
              <w:t>.</w:t>
            </w:r>
          </w:p>
        </w:tc>
        <w:tc>
          <w:tcPr>
            <w:tcW w:w="8618" w:type="dxa"/>
          </w:tcPr>
          <w:p w14:paraId="04EE766B" w14:textId="60410C87" w:rsidR="00FD29AA" w:rsidRPr="00FD29AA" w:rsidRDefault="00FD29AA" w:rsidP="00BA178E">
            <w:pPr>
              <w:pStyle w:val="NoSpacing"/>
            </w:pPr>
            <w:r w:rsidRPr="00FD29AA">
              <w:t xml:space="preserve">96% of students </w:t>
            </w:r>
            <w:r w:rsidR="00C355EA">
              <w:t xml:space="preserve">had </w:t>
            </w:r>
            <w:r w:rsidRPr="00FD29AA">
              <w:t>felt safe in the College’s online environment, with 99% of students also reporting</w:t>
            </w:r>
            <w:r w:rsidR="00C355EA">
              <w:t xml:space="preserve"> that</w:t>
            </w:r>
            <w:r w:rsidRPr="00FD29AA">
              <w:t xml:space="preserve"> they knew how to stay safe online;</w:t>
            </w:r>
          </w:p>
          <w:p w14:paraId="0C4F4EA2" w14:textId="77777777" w:rsidR="00FD29AA" w:rsidRDefault="00FD29AA" w:rsidP="00BA178E">
            <w:pPr>
              <w:pStyle w:val="NoSpacing"/>
            </w:pPr>
          </w:p>
          <w:p w14:paraId="602A9968" w14:textId="77777777" w:rsidR="00876574" w:rsidRDefault="00876574" w:rsidP="00BA178E">
            <w:pPr>
              <w:pStyle w:val="NoSpacing"/>
            </w:pPr>
          </w:p>
          <w:p w14:paraId="685F5263" w14:textId="59886229" w:rsidR="00876574" w:rsidRPr="00FD29AA" w:rsidRDefault="00876574" w:rsidP="00BA178E">
            <w:pPr>
              <w:pStyle w:val="NoSpacing"/>
            </w:pPr>
          </w:p>
        </w:tc>
      </w:tr>
      <w:tr w:rsidR="00FD29AA" w:rsidRPr="00AE6B57" w14:paraId="7630EC13" w14:textId="77777777" w:rsidTr="00876574">
        <w:tc>
          <w:tcPr>
            <w:tcW w:w="534" w:type="dxa"/>
          </w:tcPr>
          <w:p w14:paraId="11BDB831" w14:textId="77777777" w:rsidR="00FD29AA" w:rsidRPr="000079FB" w:rsidRDefault="00FD29AA" w:rsidP="00BA178E">
            <w:pPr>
              <w:rPr>
                <w:rFonts w:ascii="Verdana" w:hAnsi="Verdana"/>
              </w:rPr>
            </w:pPr>
          </w:p>
        </w:tc>
        <w:tc>
          <w:tcPr>
            <w:tcW w:w="312" w:type="dxa"/>
          </w:tcPr>
          <w:p w14:paraId="364FE05B" w14:textId="77777777" w:rsidR="00FD29AA" w:rsidRPr="000079FB" w:rsidRDefault="00FD29AA" w:rsidP="00BA178E">
            <w:pPr>
              <w:rPr>
                <w:rFonts w:ascii="Verdana" w:hAnsi="Verdana"/>
                <w:b/>
              </w:rPr>
            </w:pPr>
            <w:r>
              <w:rPr>
                <w:rFonts w:ascii="Verdana" w:hAnsi="Verdana"/>
                <w:b/>
              </w:rPr>
              <w:t>.</w:t>
            </w:r>
          </w:p>
        </w:tc>
        <w:tc>
          <w:tcPr>
            <w:tcW w:w="8618" w:type="dxa"/>
          </w:tcPr>
          <w:p w14:paraId="541F1C36" w14:textId="732DF199" w:rsidR="00FD29AA" w:rsidRPr="00FD29AA" w:rsidRDefault="00FD29AA" w:rsidP="00BA178E">
            <w:pPr>
              <w:rPr>
                <w:rFonts w:ascii="Verdana" w:hAnsi="Verdana"/>
                <w:i/>
                <w:iCs/>
              </w:rPr>
            </w:pPr>
            <w:r w:rsidRPr="00FD29AA">
              <w:rPr>
                <w:rFonts w:ascii="Verdana" w:hAnsi="Verdana"/>
              </w:rPr>
              <w:t xml:space="preserve">89% of students </w:t>
            </w:r>
            <w:r w:rsidR="00C355EA">
              <w:rPr>
                <w:rFonts w:ascii="Verdana" w:hAnsi="Verdana"/>
              </w:rPr>
              <w:t xml:space="preserve">had </w:t>
            </w:r>
            <w:r w:rsidRPr="00FD29AA">
              <w:rPr>
                <w:rFonts w:ascii="Verdana" w:hAnsi="Verdana"/>
              </w:rPr>
              <w:t xml:space="preserve">agreed that the weekly calls helped them to stay connected to the College and maintain a sense of well-being during the closure period, with 88% agreeing that they knew who to contact if they had any problems; </w:t>
            </w:r>
            <w:r w:rsidRPr="00FD29AA">
              <w:rPr>
                <w:rFonts w:ascii="Verdana" w:hAnsi="Verdana"/>
                <w:i/>
                <w:iCs/>
              </w:rPr>
              <w:t>and</w:t>
            </w:r>
          </w:p>
          <w:p w14:paraId="1D9848E3" w14:textId="01311C80" w:rsidR="00FD29AA" w:rsidRPr="00FD29AA" w:rsidRDefault="00FD29AA" w:rsidP="00BA178E">
            <w:pPr>
              <w:rPr>
                <w:rFonts w:ascii="Verdana" w:hAnsi="Verdana"/>
                <w:i/>
                <w:iCs/>
              </w:rPr>
            </w:pPr>
          </w:p>
        </w:tc>
      </w:tr>
      <w:tr w:rsidR="00FD29AA" w:rsidRPr="00FD29AA" w14:paraId="08BD633C" w14:textId="77777777" w:rsidTr="00876574">
        <w:tc>
          <w:tcPr>
            <w:tcW w:w="534" w:type="dxa"/>
          </w:tcPr>
          <w:p w14:paraId="4DDD9D45" w14:textId="77777777" w:rsidR="00FD29AA" w:rsidRPr="00AE6B57" w:rsidRDefault="00FD29AA" w:rsidP="00BA178E">
            <w:pPr>
              <w:rPr>
                <w:rFonts w:ascii="Verdana" w:hAnsi="Verdana"/>
              </w:rPr>
            </w:pPr>
          </w:p>
        </w:tc>
        <w:tc>
          <w:tcPr>
            <w:tcW w:w="312" w:type="dxa"/>
          </w:tcPr>
          <w:p w14:paraId="49E75062" w14:textId="77777777" w:rsidR="00FD29AA" w:rsidRPr="00AE6B57" w:rsidRDefault="00FD29AA" w:rsidP="00BA178E">
            <w:pPr>
              <w:rPr>
                <w:rFonts w:ascii="Verdana" w:hAnsi="Verdana"/>
                <w:b/>
              </w:rPr>
            </w:pPr>
            <w:r w:rsidRPr="00AE6B57">
              <w:rPr>
                <w:rFonts w:ascii="Verdana" w:hAnsi="Verdana"/>
                <w:b/>
              </w:rPr>
              <w:t>.</w:t>
            </w:r>
          </w:p>
        </w:tc>
        <w:tc>
          <w:tcPr>
            <w:tcW w:w="8618" w:type="dxa"/>
          </w:tcPr>
          <w:p w14:paraId="4A03A428" w14:textId="2EB4CC66" w:rsidR="00FD29AA" w:rsidRPr="00FD29AA" w:rsidRDefault="00FD29AA" w:rsidP="00BA178E">
            <w:pPr>
              <w:rPr>
                <w:rFonts w:ascii="Verdana" w:hAnsi="Verdana"/>
              </w:rPr>
            </w:pPr>
            <w:r w:rsidRPr="00FD29AA">
              <w:rPr>
                <w:rFonts w:ascii="Verdana" w:hAnsi="Verdana"/>
              </w:rPr>
              <w:t xml:space="preserve">88% of students </w:t>
            </w:r>
            <w:r w:rsidR="004708D4">
              <w:rPr>
                <w:rFonts w:ascii="Verdana" w:hAnsi="Verdana"/>
              </w:rPr>
              <w:t xml:space="preserve">had </w:t>
            </w:r>
            <w:r w:rsidRPr="00FD29AA">
              <w:rPr>
                <w:rFonts w:ascii="Verdana" w:hAnsi="Verdana"/>
              </w:rPr>
              <w:t xml:space="preserve">reported </w:t>
            </w:r>
            <w:r w:rsidR="00CC60A2">
              <w:rPr>
                <w:rFonts w:ascii="Verdana" w:hAnsi="Verdana"/>
              </w:rPr>
              <w:t>that</w:t>
            </w:r>
            <w:r w:rsidRPr="00FD29AA">
              <w:rPr>
                <w:rFonts w:ascii="Verdana" w:hAnsi="Verdana"/>
              </w:rPr>
              <w:t xml:space="preserve"> </w:t>
            </w:r>
            <w:r w:rsidR="00CC60A2">
              <w:rPr>
                <w:rFonts w:ascii="Verdana" w:hAnsi="Verdana"/>
              </w:rPr>
              <w:t xml:space="preserve">the </w:t>
            </w:r>
            <w:r>
              <w:rPr>
                <w:rFonts w:ascii="Verdana" w:hAnsi="Verdana"/>
              </w:rPr>
              <w:t>technical facilities</w:t>
            </w:r>
            <w:r w:rsidR="00CC60A2">
              <w:rPr>
                <w:rFonts w:ascii="Verdana" w:hAnsi="Verdana"/>
              </w:rPr>
              <w:t xml:space="preserve"> </w:t>
            </w:r>
            <w:r w:rsidR="004708D4">
              <w:rPr>
                <w:rFonts w:ascii="Verdana" w:hAnsi="Verdana"/>
              </w:rPr>
              <w:t>at their disposal</w:t>
            </w:r>
            <w:r w:rsidR="00CC60A2">
              <w:rPr>
                <w:rFonts w:ascii="Verdana" w:hAnsi="Verdana"/>
              </w:rPr>
              <w:t xml:space="preserve"> allowed the completion of </w:t>
            </w:r>
            <w:r w:rsidRPr="00FD29AA">
              <w:rPr>
                <w:rFonts w:ascii="Verdana" w:hAnsi="Verdana"/>
              </w:rPr>
              <w:t xml:space="preserve">online lessons, </w:t>
            </w:r>
            <w:r w:rsidR="004708D4">
              <w:rPr>
                <w:rFonts w:ascii="Verdana" w:hAnsi="Verdana"/>
              </w:rPr>
              <w:t>reflect</w:t>
            </w:r>
            <w:r>
              <w:rPr>
                <w:rFonts w:ascii="Verdana" w:hAnsi="Verdana"/>
              </w:rPr>
              <w:t>ing the</w:t>
            </w:r>
            <w:r w:rsidR="00CC60A2">
              <w:rPr>
                <w:rFonts w:ascii="Verdana" w:hAnsi="Verdana"/>
              </w:rPr>
              <w:t xml:space="preserve"> positive</w:t>
            </w:r>
            <w:r w:rsidRPr="00FD29AA">
              <w:rPr>
                <w:rFonts w:ascii="Verdana" w:hAnsi="Verdana"/>
              </w:rPr>
              <w:t xml:space="preserve"> impact of </w:t>
            </w:r>
            <w:r>
              <w:rPr>
                <w:rFonts w:ascii="Verdana" w:hAnsi="Verdana"/>
              </w:rPr>
              <w:t>the College’s</w:t>
            </w:r>
            <w:r w:rsidRPr="00FD29AA">
              <w:rPr>
                <w:rFonts w:ascii="Verdana" w:hAnsi="Verdana"/>
              </w:rPr>
              <w:t xml:space="preserve"> laptop loan scheme</w:t>
            </w:r>
            <w:r>
              <w:rPr>
                <w:rFonts w:ascii="Verdana" w:hAnsi="Verdana"/>
              </w:rPr>
              <w:t>,</w:t>
            </w:r>
            <w:r w:rsidRPr="00FD29AA">
              <w:rPr>
                <w:rFonts w:ascii="Verdana" w:hAnsi="Verdana"/>
              </w:rPr>
              <w:t xml:space="preserve"> </w:t>
            </w:r>
            <w:r>
              <w:rPr>
                <w:rFonts w:ascii="Verdana" w:hAnsi="Verdana"/>
              </w:rPr>
              <w:t xml:space="preserve">though </w:t>
            </w:r>
            <w:r w:rsidRPr="00FD29AA">
              <w:rPr>
                <w:rFonts w:ascii="Verdana" w:hAnsi="Verdana"/>
              </w:rPr>
              <w:t>69% did report challenges with accessing sufficient wi-fi/data</w:t>
            </w:r>
            <w:r>
              <w:rPr>
                <w:rFonts w:ascii="Verdana" w:hAnsi="Verdana"/>
              </w:rPr>
              <w:t xml:space="preserve"> – despite the College having purchased </w:t>
            </w:r>
            <w:r w:rsidRPr="00FD29AA">
              <w:rPr>
                <w:rFonts w:ascii="Verdana" w:hAnsi="Verdana"/>
              </w:rPr>
              <w:t xml:space="preserve">dongles and data for students, </w:t>
            </w:r>
            <w:r>
              <w:rPr>
                <w:rFonts w:ascii="Verdana" w:hAnsi="Verdana"/>
              </w:rPr>
              <w:t>the problem</w:t>
            </w:r>
            <w:r w:rsidR="00CC60A2">
              <w:rPr>
                <w:rFonts w:ascii="Verdana" w:hAnsi="Verdana"/>
              </w:rPr>
              <w:t xml:space="preserve"> </w:t>
            </w:r>
            <w:r w:rsidR="004708D4">
              <w:rPr>
                <w:rFonts w:ascii="Verdana" w:hAnsi="Verdana"/>
              </w:rPr>
              <w:t xml:space="preserve">had </w:t>
            </w:r>
            <w:r w:rsidR="00CC60A2">
              <w:rPr>
                <w:rFonts w:ascii="Verdana" w:hAnsi="Verdana"/>
              </w:rPr>
              <w:t>bec</w:t>
            </w:r>
            <w:r w:rsidR="004708D4">
              <w:rPr>
                <w:rFonts w:ascii="Verdana" w:hAnsi="Verdana"/>
              </w:rPr>
              <w:t>o</w:t>
            </w:r>
            <w:r w:rsidR="00CC60A2">
              <w:rPr>
                <w:rFonts w:ascii="Verdana" w:hAnsi="Verdana"/>
              </w:rPr>
              <w:t>me more acute</w:t>
            </w:r>
            <w:r w:rsidRPr="00FD29AA">
              <w:rPr>
                <w:rFonts w:ascii="Verdana" w:hAnsi="Verdana"/>
              </w:rPr>
              <w:t xml:space="preserve"> as the closure period continued, </w:t>
            </w:r>
            <w:r w:rsidR="004708D4">
              <w:rPr>
                <w:rFonts w:ascii="Verdana" w:hAnsi="Verdana"/>
              </w:rPr>
              <w:t>with</w:t>
            </w:r>
            <w:r w:rsidRPr="00FD29AA">
              <w:rPr>
                <w:rFonts w:ascii="Verdana" w:hAnsi="Verdana"/>
              </w:rPr>
              <w:t xml:space="preserve"> more demand on household wi-fi connections and personal data allowances</w:t>
            </w:r>
            <w:r w:rsidR="00CC60A2">
              <w:rPr>
                <w:rFonts w:ascii="Verdana" w:hAnsi="Verdana"/>
              </w:rPr>
              <w:t>, all of which</w:t>
            </w:r>
            <w:r w:rsidRPr="00FD29AA">
              <w:rPr>
                <w:rFonts w:ascii="Verdana" w:hAnsi="Verdana"/>
              </w:rPr>
              <w:t xml:space="preserve"> needs to be </w:t>
            </w:r>
            <w:r w:rsidR="00CC60A2">
              <w:rPr>
                <w:rFonts w:ascii="Verdana" w:hAnsi="Verdana"/>
              </w:rPr>
              <w:t>reviewed</w:t>
            </w:r>
            <w:r w:rsidRPr="00FD29AA">
              <w:rPr>
                <w:rFonts w:ascii="Verdana" w:hAnsi="Verdana"/>
              </w:rPr>
              <w:t xml:space="preserve"> </w:t>
            </w:r>
            <w:r w:rsidR="00CC60A2">
              <w:rPr>
                <w:rFonts w:ascii="Verdana" w:hAnsi="Verdana"/>
              </w:rPr>
              <w:t xml:space="preserve">in </w:t>
            </w:r>
            <w:r w:rsidR="004708D4">
              <w:rPr>
                <w:rFonts w:ascii="Verdana" w:hAnsi="Verdana"/>
              </w:rPr>
              <w:t>advance of</w:t>
            </w:r>
            <w:r w:rsidR="00CC60A2">
              <w:rPr>
                <w:rFonts w:ascii="Verdana" w:hAnsi="Verdana"/>
              </w:rPr>
              <w:t xml:space="preserve"> </w:t>
            </w:r>
            <w:r w:rsidRPr="00FD29AA">
              <w:rPr>
                <w:rFonts w:ascii="Verdana" w:hAnsi="Verdana"/>
              </w:rPr>
              <w:t xml:space="preserve">a </w:t>
            </w:r>
            <w:r w:rsidR="004D3EBF">
              <w:rPr>
                <w:rFonts w:ascii="Verdana" w:hAnsi="Verdana"/>
              </w:rPr>
              <w:t>repeat</w:t>
            </w:r>
            <w:r w:rsidRPr="00FD29AA">
              <w:rPr>
                <w:rFonts w:ascii="Verdana" w:hAnsi="Verdana"/>
              </w:rPr>
              <w:t xml:space="preserve"> closure</w:t>
            </w:r>
            <w:r w:rsidR="00CC60A2">
              <w:rPr>
                <w:rFonts w:ascii="Verdana" w:hAnsi="Verdana"/>
              </w:rPr>
              <w:t>.</w:t>
            </w:r>
          </w:p>
        </w:tc>
      </w:tr>
    </w:tbl>
    <w:p w14:paraId="3FF19D5A" w14:textId="332E49CE" w:rsidR="008167A4" w:rsidRDefault="008167A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CC60A2" w:rsidRPr="006D35B2" w14:paraId="086CEC64" w14:textId="77777777" w:rsidTr="00876574">
        <w:tc>
          <w:tcPr>
            <w:tcW w:w="529" w:type="dxa"/>
            <w:shd w:val="clear" w:color="auto" w:fill="auto"/>
            <w:tcMar>
              <w:top w:w="0" w:type="dxa"/>
              <w:left w:w="108" w:type="dxa"/>
              <w:bottom w:w="0" w:type="dxa"/>
              <w:right w:w="108" w:type="dxa"/>
            </w:tcMar>
          </w:tcPr>
          <w:p w14:paraId="79913063" w14:textId="77777777" w:rsidR="00CC60A2" w:rsidRDefault="00CC60A2" w:rsidP="00BA178E">
            <w:pPr>
              <w:pStyle w:val="NoSpacing"/>
              <w:rPr>
                <w:b/>
              </w:rPr>
            </w:pPr>
          </w:p>
        </w:tc>
        <w:tc>
          <w:tcPr>
            <w:tcW w:w="8935" w:type="dxa"/>
            <w:shd w:val="clear" w:color="auto" w:fill="auto"/>
            <w:tcMar>
              <w:top w:w="0" w:type="dxa"/>
              <w:left w:w="108" w:type="dxa"/>
              <w:bottom w:w="0" w:type="dxa"/>
              <w:right w:w="108" w:type="dxa"/>
            </w:tcMar>
          </w:tcPr>
          <w:p w14:paraId="5DE0BF16" w14:textId="1CC1CBF0" w:rsidR="00CC60A2" w:rsidRDefault="004D3EBF" w:rsidP="00BA178E">
            <w:pPr>
              <w:rPr>
                <w:rFonts w:ascii="Verdana" w:hAnsi="Verdana"/>
              </w:rPr>
            </w:pPr>
            <w:r>
              <w:rPr>
                <w:rFonts w:ascii="Verdana" w:hAnsi="Verdana"/>
              </w:rPr>
              <w:t xml:space="preserve">Concern was expressed </w:t>
            </w:r>
            <w:r w:rsidR="00FF347E">
              <w:rPr>
                <w:rFonts w:ascii="Verdana" w:hAnsi="Verdana"/>
              </w:rPr>
              <w:t>in relation to</w:t>
            </w:r>
            <w:r>
              <w:rPr>
                <w:rFonts w:ascii="Verdana" w:hAnsi="Verdana"/>
              </w:rPr>
              <w:t xml:space="preserve"> the 12% of students who did not have sufficient technical facilities at their disposal to allow the completion of online lessons.  It was confirmed</w:t>
            </w:r>
            <w:r w:rsidR="00AA2933">
              <w:rPr>
                <w:rFonts w:ascii="Verdana" w:hAnsi="Verdana"/>
              </w:rPr>
              <w:t xml:space="preserve"> that students for whom this was a problem had been able to attend the College and use its facilities in a physically distanced setting.</w:t>
            </w:r>
          </w:p>
          <w:p w14:paraId="7A404DB2" w14:textId="77777777" w:rsidR="00AA2933" w:rsidRDefault="00AA2933" w:rsidP="00BA178E">
            <w:pPr>
              <w:rPr>
                <w:rFonts w:ascii="Verdana" w:hAnsi="Verdana"/>
              </w:rPr>
            </w:pPr>
          </w:p>
          <w:p w14:paraId="51FA3FC3" w14:textId="6F3E347C" w:rsidR="00AA2933" w:rsidRPr="006D35B2" w:rsidRDefault="00AA2933" w:rsidP="00BA178E">
            <w:pPr>
              <w:rPr>
                <w:rFonts w:ascii="Verdana" w:hAnsi="Verdana"/>
              </w:rPr>
            </w:pPr>
            <w:r>
              <w:rPr>
                <w:rFonts w:ascii="Verdana" w:hAnsi="Verdana"/>
              </w:rPr>
              <w:t xml:space="preserve">It was noted that a further student survey will be conducted in December for report to the 1 February meeting of the Committee. </w:t>
            </w:r>
          </w:p>
        </w:tc>
      </w:tr>
    </w:tbl>
    <w:p w14:paraId="1E72D750" w14:textId="77777777" w:rsidR="008167A4" w:rsidRDefault="008167A4"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96A58" w:rsidRPr="006D35B2" w14:paraId="5C452245" w14:textId="77777777" w:rsidTr="00876574">
        <w:tc>
          <w:tcPr>
            <w:tcW w:w="529" w:type="dxa"/>
            <w:shd w:val="clear" w:color="auto" w:fill="auto"/>
            <w:tcMar>
              <w:top w:w="0" w:type="dxa"/>
              <w:left w:w="108" w:type="dxa"/>
              <w:bottom w:w="0" w:type="dxa"/>
              <w:right w:w="108" w:type="dxa"/>
            </w:tcMar>
          </w:tcPr>
          <w:p w14:paraId="3F74BF0E" w14:textId="6E6D294F" w:rsidR="00896A58" w:rsidRPr="00201552" w:rsidRDefault="00CC60A2" w:rsidP="000542FE">
            <w:pPr>
              <w:pStyle w:val="NoSpacing"/>
              <w:rPr>
                <w:b/>
                <w:color w:val="FF0000"/>
              </w:rPr>
            </w:pPr>
            <w:r w:rsidRPr="00CC60A2">
              <w:rPr>
                <w:b/>
              </w:rPr>
              <w:t>10</w:t>
            </w:r>
          </w:p>
        </w:tc>
        <w:tc>
          <w:tcPr>
            <w:tcW w:w="8935" w:type="dxa"/>
            <w:shd w:val="clear" w:color="auto" w:fill="auto"/>
            <w:tcMar>
              <w:top w:w="0" w:type="dxa"/>
              <w:left w:w="108" w:type="dxa"/>
              <w:bottom w:w="0" w:type="dxa"/>
              <w:right w:w="108" w:type="dxa"/>
            </w:tcMar>
          </w:tcPr>
          <w:p w14:paraId="31D12C95" w14:textId="77777777" w:rsidR="00CC60A2" w:rsidRDefault="00CC60A2" w:rsidP="00CC60A2">
            <w:pPr>
              <w:rPr>
                <w:rFonts w:ascii="Verdana" w:hAnsi="Verdana"/>
                <w:b/>
              </w:rPr>
            </w:pPr>
            <w:r>
              <w:rPr>
                <w:rFonts w:ascii="Verdana" w:hAnsi="Verdana"/>
                <w:b/>
              </w:rPr>
              <w:t>Safeguarding Update</w:t>
            </w:r>
          </w:p>
          <w:p w14:paraId="2C2BB74A" w14:textId="77777777" w:rsidR="00896A58" w:rsidRPr="00201552" w:rsidRDefault="00896A58" w:rsidP="000542FE">
            <w:pPr>
              <w:rPr>
                <w:rFonts w:ascii="Verdana" w:hAnsi="Verdana"/>
                <w:color w:val="FF0000"/>
              </w:rPr>
            </w:pPr>
          </w:p>
          <w:p w14:paraId="201EE167" w14:textId="77777777" w:rsidR="00CC60A2" w:rsidRDefault="00CC60A2" w:rsidP="00CC60A2">
            <w:pPr>
              <w:rPr>
                <w:rFonts w:ascii="Verdana" w:hAnsi="Verdana"/>
              </w:rPr>
            </w:pPr>
            <w:r>
              <w:rPr>
                <w:rFonts w:ascii="Verdana" w:hAnsi="Verdana"/>
              </w:rPr>
              <w:t>A report prepared by the Vice-Principal (</w:t>
            </w:r>
            <w:r w:rsidRPr="00FE7EDC">
              <w:rPr>
                <w:rFonts w:ascii="Verdana" w:hAnsi="Verdana"/>
              </w:rPr>
              <w:t>Student S</w:t>
            </w:r>
            <w:r>
              <w:rPr>
                <w:rFonts w:ascii="Verdana" w:hAnsi="Verdana"/>
              </w:rPr>
              <w:t>ervices and Recruitment) was received and considered.</w:t>
            </w:r>
          </w:p>
          <w:p w14:paraId="5BB9F519" w14:textId="77777777" w:rsidR="00CC60A2" w:rsidRDefault="00CC60A2" w:rsidP="00CC60A2">
            <w:pPr>
              <w:rPr>
                <w:rFonts w:ascii="Verdana" w:hAnsi="Verdana"/>
              </w:rPr>
            </w:pPr>
          </w:p>
          <w:p w14:paraId="56C8467E" w14:textId="07FCA145" w:rsidR="008B2F81" w:rsidRPr="00201552" w:rsidRDefault="00CC60A2" w:rsidP="00CC60A2">
            <w:pPr>
              <w:rPr>
                <w:rFonts w:ascii="Verdana" w:hAnsi="Verdana"/>
                <w:color w:val="FF0000"/>
              </w:rPr>
            </w:pPr>
            <w:r>
              <w:rPr>
                <w:rFonts w:ascii="Verdana" w:hAnsi="Verdana"/>
              </w:rPr>
              <w:t>It was noted that:</w:t>
            </w:r>
          </w:p>
        </w:tc>
      </w:tr>
    </w:tbl>
    <w:p w14:paraId="1E3BBCCD" w14:textId="01C377BD" w:rsidR="00010E43" w:rsidRDefault="00010E43"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CC60A2" w:rsidRPr="007663F3" w14:paraId="798EB0DE" w14:textId="77777777" w:rsidTr="00876574">
        <w:tc>
          <w:tcPr>
            <w:tcW w:w="534" w:type="dxa"/>
          </w:tcPr>
          <w:p w14:paraId="42DC0FFC" w14:textId="77777777" w:rsidR="00CC60A2" w:rsidRPr="000079FB" w:rsidRDefault="00CC60A2" w:rsidP="00BA178E">
            <w:pPr>
              <w:rPr>
                <w:rFonts w:ascii="Verdana" w:hAnsi="Verdana"/>
              </w:rPr>
            </w:pPr>
          </w:p>
        </w:tc>
        <w:tc>
          <w:tcPr>
            <w:tcW w:w="312" w:type="dxa"/>
          </w:tcPr>
          <w:p w14:paraId="0F5E0EAA" w14:textId="77777777" w:rsidR="00CC60A2" w:rsidRPr="000079FB" w:rsidRDefault="00CC60A2" w:rsidP="00BA178E">
            <w:pPr>
              <w:rPr>
                <w:rFonts w:ascii="Verdana" w:hAnsi="Verdana"/>
                <w:b/>
              </w:rPr>
            </w:pPr>
            <w:r w:rsidRPr="000079FB">
              <w:rPr>
                <w:rFonts w:ascii="Verdana" w:hAnsi="Verdana"/>
                <w:b/>
              </w:rPr>
              <w:t>.</w:t>
            </w:r>
          </w:p>
        </w:tc>
        <w:tc>
          <w:tcPr>
            <w:tcW w:w="8618" w:type="dxa"/>
          </w:tcPr>
          <w:p w14:paraId="06124B0C" w14:textId="3201081C" w:rsidR="00CC60A2" w:rsidRDefault="00CC60A2" w:rsidP="00CC60A2">
            <w:pPr>
              <w:rPr>
                <w:rFonts w:ascii="Verdana" w:hAnsi="Verdana" w:cs="Arial"/>
              </w:rPr>
            </w:pPr>
            <w:r w:rsidRPr="00CC60A2">
              <w:rPr>
                <w:rFonts w:ascii="Verdana" w:hAnsi="Verdana" w:cs="Arial"/>
              </w:rPr>
              <w:t xml:space="preserve">students with a range of indicators linked to vulnerability </w:t>
            </w:r>
            <w:r>
              <w:rPr>
                <w:rFonts w:ascii="Verdana" w:hAnsi="Verdana" w:cs="Arial"/>
              </w:rPr>
              <w:t xml:space="preserve">had </w:t>
            </w:r>
            <w:r w:rsidRPr="00CC60A2">
              <w:rPr>
                <w:rFonts w:ascii="Verdana" w:hAnsi="Verdana" w:cs="Arial"/>
              </w:rPr>
              <w:t xml:space="preserve">continued to perform well in </w:t>
            </w:r>
            <w:r>
              <w:rPr>
                <w:rFonts w:ascii="Verdana" w:hAnsi="Verdana" w:cs="Arial"/>
              </w:rPr>
              <w:t>2019-20;</w:t>
            </w:r>
          </w:p>
          <w:p w14:paraId="1951FE1F" w14:textId="0662598E" w:rsidR="00CC60A2" w:rsidRPr="00CC60A2" w:rsidRDefault="00CC60A2" w:rsidP="00CC60A2">
            <w:pPr>
              <w:rPr>
                <w:rFonts w:ascii="Verdana" w:hAnsi="Verdana" w:cs="Arial"/>
              </w:rPr>
            </w:pPr>
          </w:p>
        </w:tc>
      </w:tr>
      <w:tr w:rsidR="00CC60A2" w:rsidRPr="00AE6B57" w14:paraId="63623F2C" w14:textId="77777777" w:rsidTr="00876574">
        <w:tc>
          <w:tcPr>
            <w:tcW w:w="534" w:type="dxa"/>
          </w:tcPr>
          <w:p w14:paraId="72242B08" w14:textId="77777777" w:rsidR="00CC60A2" w:rsidRPr="000079FB" w:rsidRDefault="00CC60A2" w:rsidP="00BA178E">
            <w:pPr>
              <w:rPr>
                <w:rFonts w:ascii="Verdana" w:hAnsi="Verdana"/>
              </w:rPr>
            </w:pPr>
          </w:p>
        </w:tc>
        <w:tc>
          <w:tcPr>
            <w:tcW w:w="312" w:type="dxa"/>
          </w:tcPr>
          <w:p w14:paraId="7093D1CE" w14:textId="77777777" w:rsidR="00CC60A2" w:rsidRPr="000079FB" w:rsidRDefault="00CC60A2" w:rsidP="00BA178E">
            <w:pPr>
              <w:rPr>
                <w:rFonts w:ascii="Verdana" w:hAnsi="Verdana"/>
                <w:b/>
              </w:rPr>
            </w:pPr>
            <w:r>
              <w:rPr>
                <w:rFonts w:ascii="Verdana" w:hAnsi="Verdana"/>
                <w:b/>
              </w:rPr>
              <w:t>.</w:t>
            </w:r>
          </w:p>
        </w:tc>
        <w:tc>
          <w:tcPr>
            <w:tcW w:w="8618" w:type="dxa"/>
          </w:tcPr>
          <w:p w14:paraId="1DAF4BAF" w14:textId="0B7D9701" w:rsidR="00CC60A2" w:rsidRPr="00CC60A2" w:rsidRDefault="00CC60A2" w:rsidP="00CC60A2">
            <w:pPr>
              <w:rPr>
                <w:rFonts w:ascii="Verdana" w:hAnsi="Verdana" w:cs="Arial"/>
              </w:rPr>
            </w:pPr>
            <w:r>
              <w:rPr>
                <w:rFonts w:ascii="Verdana" w:hAnsi="Verdana" w:cs="Arial"/>
              </w:rPr>
              <w:t>b</w:t>
            </w:r>
            <w:r w:rsidRPr="00CC60A2">
              <w:rPr>
                <w:rFonts w:ascii="Verdana" w:hAnsi="Verdana" w:cs="Arial"/>
              </w:rPr>
              <w:t xml:space="preserve">ursary and </w:t>
            </w:r>
            <w:r>
              <w:rPr>
                <w:rFonts w:ascii="Verdana" w:hAnsi="Verdana" w:cs="Arial"/>
              </w:rPr>
              <w:t>f</w:t>
            </w:r>
            <w:r w:rsidRPr="00CC60A2">
              <w:rPr>
                <w:rFonts w:ascii="Verdana" w:hAnsi="Verdana" w:cs="Arial"/>
              </w:rPr>
              <w:t xml:space="preserve">ree </w:t>
            </w:r>
            <w:r>
              <w:rPr>
                <w:rFonts w:ascii="Verdana" w:hAnsi="Verdana" w:cs="Arial"/>
              </w:rPr>
              <w:t>s</w:t>
            </w:r>
            <w:r w:rsidRPr="00CC60A2">
              <w:rPr>
                <w:rFonts w:ascii="Verdana" w:hAnsi="Verdana" w:cs="Arial"/>
              </w:rPr>
              <w:t xml:space="preserve">chool </w:t>
            </w:r>
            <w:r>
              <w:rPr>
                <w:rFonts w:ascii="Verdana" w:hAnsi="Verdana" w:cs="Arial"/>
              </w:rPr>
              <w:t>m</w:t>
            </w:r>
            <w:r w:rsidRPr="00CC60A2">
              <w:rPr>
                <w:rFonts w:ascii="Verdana" w:hAnsi="Verdana" w:cs="Arial"/>
              </w:rPr>
              <w:t xml:space="preserve">eal students </w:t>
            </w:r>
            <w:r>
              <w:rPr>
                <w:rFonts w:ascii="Verdana" w:hAnsi="Verdana" w:cs="Arial"/>
              </w:rPr>
              <w:t xml:space="preserve">had </w:t>
            </w:r>
            <w:r w:rsidRPr="00CC60A2">
              <w:rPr>
                <w:rFonts w:ascii="Verdana" w:hAnsi="Verdana" w:cs="Arial"/>
              </w:rPr>
              <w:t>continue</w:t>
            </w:r>
            <w:r>
              <w:rPr>
                <w:rFonts w:ascii="Verdana" w:hAnsi="Verdana" w:cs="Arial"/>
              </w:rPr>
              <w:t>d</w:t>
            </w:r>
            <w:r w:rsidRPr="00CC60A2">
              <w:rPr>
                <w:rFonts w:ascii="Verdana" w:hAnsi="Verdana" w:cs="Arial"/>
              </w:rPr>
              <w:t xml:space="preserve"> to </w:t>
            </w:r>
            <w:r>
              <w:rPr>
                <w:rFonts w:ascii="Verdana" w:hAnsi="Verdana" w:cs="Arial"/>
              </w:rPr>
              <w:t>record</w:t>
            </w:r>
            <w:r w:rsidRPr="00CC60A2">
              <w:rPr>
                <w:rFonts w:ascii="Verdana" w:hAnsi="Verdana" w:cs="Arial"/>
              </w:rPr>
              <w:t xml:space="preserve"> better attendance and achievement than </w:t>
            </w:r>
            <w:r w:rsidR="00CC3F9D">
              <w:rPr>
                <w:rFonts w:ascii="Verdana" w:hAnsi="Verdana" w:cs="Arial"/>
              </w:rPr>
              <w:t>th</w:t>
            </w:r>
            <w:r w:rsidR="004708D4">
              <w:rPr>
                <w:rFonts w:ascii="Verdana" w:hAnsi="Verdana" w:cs="Arial"/>
              </w:rPr>
              <w:t>at of their</w:t>
            </w:r>
            <w:r w:rsidR="00CC3F9D">
              <w:rPr>
                <w:rFonts w:ascii="Verdana" w:hAnsi="Verdana" w:cs="Arial"/>
              </w:rPr>
              <w:t xml:space="preserve"> peers</w:t>
            </w:r>
            <w:r w:rsidRPr="00CC60A2">
              <w:rPr>
                <w:rFonts w:ascii="Verdana" w:hAnsi="Verdana" w:cs="Arial"/>
              </w:rPr>
              <w:t xml:space="preserve">, reflecting a </w:t>
            </w:r>
            <w:proofErr w:type="gramStart"/>
            <w:r w:rsidRPr="00CC60A2">
              <w:rPr>
                <w:rFonts w:ascii="Verdana" w:hAnsi="Verdana" w:cs="Arial"/>
              </w:rPr>
              <w:t>three year</w:t>
            </w:r>
            <w:proofErr w:type="gramEnd"/>
            <w:r w:rsidRPr="00CC60A2">
              <w:rPr>
                <w:rFonts w:ascii="Verdana" w:hAnsi="Verdana" w:cs="Arial"/>
              </w:rPr>
              <w:t xml:space="preserve"> trend</w:t>
            </w:r>
            <w:r w:rsidR="00CC3F9D">
              <w:rPr>
                <w:rFonts w:ascii="Verdana" w:hAnsi="Verdana" w:cs="Arial"/>
              </w:rPr>
              <w:t>;</w:t>
            </w:r>
            <w:r w:rsidRPr="00CC60A2">
              <w:rPr>
                <w:rFonts w:ascii="Verdana" w:hAnsi="Verdana" w:cs="Arial"/>
              </w:rPr>
              <w:t xml:space="preserve"> </w:t>
            </w:r>
          </w:p>
          <w:p w14:paraId="71D0693D" w14:textId="77777777" w:rsidR="00CC60A2" w:rsidRPr="00CC60A2" w:rsidRDefault="00CC60A2" w:rsidP="00BA178E">
            <w:pPr>
              <w:rPr>
                <w:rFonts w:ascii="Verdana" w:hAnsi="Verdana" w:cs="Arial"/>
              </w:rPr>
            </w:pPr>
          </w:p>
        </w:tc>
      </w:tr>
      <w:tr w:rsidR="00CC60A2" w:rsidRPr="00AE6B57" w14:paraId="5F1084A4" w14:textId="77777777" w:rsidTr="00876574">
        <w:tc>
          <w:tcPr>
            <w:tcW w:w="534" w:type="dxa"/>
          </w:tcPr>
          <w:p w14:paraId="4B1E581F" w14:textId="77777777" w:rsidR="00CC60A2" w:rsidRPr="00AE6B57" w:rsidRDefault="00CC60A2" w:rsidP="00BA178E">
            <w:pPr>
              <w:rPr>
                <w:rFonts w:ascii="Verdana" w:hAnsi="Verdana"/>
              </w:rPr>
            </w:pPr>
          </w:p>
        </w:tc>
        <w:tc>
          <w:tcPr>
            <w:tcW w:w="312" w:type="dxa"/>
          </w:tcPr>
          <w:p w14:paraId="66276EA2" w14:textId="77777777" w:rsidR="00CC60A2" w:rsidRPr="00AE6B57" w:rsidRDefault="00CC60A2" w:rsidP="00BA178E">
            <w:pPr>
              <w:rPr>
                <w:rFonts w:ascii="Verdana" w:hAnsi="Verdana"/>
                <w:b/>
              </w:rPr>
            </w:pPr>
            <w:r w:rsidRPr="00AE6B57">
              <w:rPr>
                <w:rFonts w:ascii="Verdana" w:hAnsi="Verdana"/>
                <w:b/>
              </w:rPr>
              <w:t>.</w:t>
            </w:r>
          </w:p>
        </w:tc>
        <w:tc>
          <w:tcPr>
            <w:tcW w:w="8618" w:type="dxa"/>
          </w:tcPr>
          <w:p w14:paraId="1D80EB3A" w14:textId="77777777" w:rsidR="00CC60A2" w:rsidRDefault="00CC3F9D" w:rsidP="00BA178E">
            <w:pPr>
              <w:rPr>
                <w:rFonts w:ascii="Verdana" w:hAnsi="Verdana" w:cs="Arial"/>
              </w:rPr>
            </w:pPr>
            <w:r w:rsidRPr="00CC60A2">
              <w:rPr>
                <w:rFonts w:ascii="Verdana" w:hAnsi="Verdana" w:cs="Arial"/>
              </w:rPr>
              <w:t>EHCP and High Needs students had</w:t>
            </w:r>
            <w:r>
              <w:rPr>
                <w:rFonts w:ascii="Verdana" w:hAnsi="Verdana" w:cs="Arial"/>
              </w:rPr>
              <w:t xml:space="preserve"> recorded</w:t>
            </w:r>
            <w:r w:rsidRPr="00CC60A2">
              <w:rPr>
                <w:rFonts w:ascii="Verdana" w:hAnsi="Verdana" w:cs="Arial"/>
              </w:rPr>
              <w:t xml:space="preserve"> 100% achievement, progression to positive destinations, or successful internal progression</w:t>
            </w:r>
            <w:r>
              <w:rPr>
                <w:rFonts w:ascii="Verdana" w:hAnsi="Verdana" w:cs="Arial"/>
              </w:rPr>
              <w:t>;</w:t>
            </w:r>
            <w:r w:rsidRPr="00CC60A2">
              <w:rPr>
                <w:rFonts w:ascii="Verdana" w:hAnsi="Verdana" w:cs="Arial"/>
              </w:rPr>
              <w:t xml:space="preserve"> </w:t>
            </w:r>
          </w:p>
          <w:p w14:paraId="11CC20BC" w14:textId="6BA7C016" w:rsidR="00CC3F9D" w:rsidRPr="00FD29AA" w:rsidRDefault="00CC3F9D" w:rsidP="00BA178E">
            <w:pPr>
              <w:rPr>
                <w:rFonts w:ascii="Verdana" w:hAnsi="Verdana"/>
              </w:rPr>
            </w:pPr>
          </w:p>
        </w:tc>
      </w:tr>
      <w:tr w:rsidR="00CC3F9D" w:rsidRPr="00AE6B57" w14:paraId="39172D4F" w14:textId="77777777" w:rsidTr="00876574">
        <w:tc>
          <w:tcPr>
            <w:tcW w:w="534" w:type="dxa"/>
          </w:tcPr>
          <w:p w14:paraId="445179BB" w14:textId="77777777" w:rsidR="00CC3F9D" w:rsidRPr="00AE6B57" w:rsidRDefault="00CC3F9D" w:rsidP="00BA178E">
            <w:pPr>
              <w:rPr>
                <w:rFonts w:ascii="Verdana" w:hAnsi="Verdana"/>
              </w:rPr>
            </w:pPr>
          </w:p>
        </w:tc>
        <w:tc>
          <w:tcPr>
            <w:tcW w:w="312" w:type="dxa"/>
          </w:tcPr>
          <w:p w14:paraId="04B7C0EC" w14:textId="05B87780" w:rsidR="00CC3F9D" w:rsidRPr="00AE6B57" w:rsidRDefault="00CC3F9D" w:rsidP="00BA178E">
            <w:pPr>
              <w:rPr>
                <w:rFonts w:ascii="Verdana" w:hAnsi="Verdana"/>
                <w:b/>
              </w:rPr>
            </w:pPr>
            <w:r>
              <w:rPr>
                <w:rFonts w:ascii="Verdana" w:hAnsi="Verdana"/>
                <w:b/>
              </w:rPr>
              <w:t>.</w:t>
            </w:r>
          </w:p>
        </w:tc>
        <w:tc>
          <w:tcPr>
            <w:tcW w:w="8618" w:type="dxa"/>
          </w:tcPr>
          <w:p w14:paraId="70CCC82F" w14:textId="58C9935B" w:rsidR="00CC3F9D" w:rsidRPr="00CC3F9D" w:rsidRDefault="00CC3F9D" w:rsidP="00BA178E">
            <w:pPr>
              <w:rPr>
                <w:rFonts w:ascii="Verdana" w:hAnsi="Verdana" w:cs="Arial"/>
                <w:i/>
                <w:iCs/>
              </w:rPr>
            </w:pPr>
            <w:r>
              <w:rPr>
                <w:rFonts w:ascii="Verdana" w:hAnsi="Verdana" w:cs="Arial"/>
              </w:rPr>
              <w:t>there</w:t>
            </w:r>
            <w:r w:rsidRPr="00CC60A2">
              <w:rPr>
                <w:rFonts w:ascii="Verdana" w:hAnsi="Verdana" w:cs="Arial"/>
              </w:rPr>
              <w:t xml:space="preserve"> </w:t>
            </w:r>
            <w:r>
              <w:rPr>
                <w:rFonts w:ascii="Verdana" w:hAnsi="Verdana" w:cs="Arial"/>
              </w:rPr>
              <w:t>had</w:t>
            </w:r>
            <w:r w:rsidRPr="00CC60A2">
              <w:rPr>
                <w:rFonts w:ascii="Verdana" w:hAnsi="Verdana" w:cs="Arial"/>
              </w:rPr>
              <w:t xml:space="preserve"> still </w:t>
            </w:r>
            <w:r>
              <w:rPr>
                <w:rFonts w:ascii="Verdana" w:hAnsi="Verdana" w:cs="Arial"/>
              </w:rPr>
              <w:t xml:space="preserve">been </w:t>
            </w:r>
            <w:r w:rsidRPr="00CC60A2">
              <w:rPr>
                <w:rFonts w:ascii="Verdana" w:hAnsi="Verdana" w:cs="Arial"/>
              </w:rPr>
              <w:t xml:space="preserve">an achievement gap for Looked After Children, but </w:t>
            </w:r>
            <w:r>
              <w:rPr>
                <w:rFonts w:ascii="Verdana" w:hAnsi="Verdana" w:cs="Arial"/>
              </w:rPr>
              <w:t>it had</w:t>
            </w:r>
            <w:r w:rsidRPr="00CC60A2">
              <w:rPr>
                <w:rFonts w:ascii="Verdana" w:hAnsi="Verdana" w:cs="Arial"/>
              </w:rPr>
              <w:t xml:space="preserve"> closed significantly compared to </w:t>
            </w:r>
            <w:r w:rsidR="004708D4">
              <w:rPr>
                <w:rFonts w:ascii="Verdana" w:hAnsi="Verdana" w:cs="Arial"/>
              </w:rPr>
              <w:t xml:space="preserve">the </w:t>
            </w:r>
            <w:r>
              <w:rPr>
                <w:rFonts w:ascii="Verdana" w:hAnsi="Verdana" w:cs="Arial"/>
              </w:rPr>
              <w:t>previous</w:t>
            </w:r>
            <w:r w:rsidRPr="00CC60A2">
              <w:rPr>
                <w:rFonts w:ascii="Verdana" w:hAnsi="Verdana" w:cs="Arial"/>
              </w:rPr>
              <w:t xml:space="preserve"> academic year</w:t>
            </w:r>
            <w:r>
              <w:rPr>
                <w:rFonts w:ascii="Verdana" w:hAnsi="Verdana" w:cs="Arial"/>
              </w:rPr>
              <w:t>;</w:t>
            </w:r>
            <w:r w:rsidRPr="00CC60A2">
              <w:rPr>
                <w:rFonts w:ascii="Verdana" w:hAnsi="Verdana" w:cs="Arial"/>
              </w:rPr>
              <w:t xml:space="preserve"> </w:t>
            </w:r>
            <w:r>
              <w:rPr>
                <w:rFonts w:ascii="Verdana" w:hAnsi="Verdana" w:cs="Arial"/>
                <w:i/>
                <w:iCs/>
              </w:rPr>
              <w:t>and</w:t>
            </w:r>
          </w:p>
          <w:p w14:paraId="1870C3E0" w14:textId="70CB5877" w:rsidR="00CC3F9D" w:rsidRPr="00CC60A2" w:rsidRDefault="00CC3F9D" w:rsidP="00BA178E">
            <w:pPr>
              <w:rPr>
                <w:rFonts w:ascii="Verdana" w:hAnsi="Verdana" w:cs="Arial"/>
              </w:rPr>
            </w:pPr>
          </w:p>
        </w:tc>
      </w:tr>
      <w:tr w:rsidR="00CC3F9D" w:rsidRPr="00AE6B57" w14:paraId="690AC6A6" w14:textId="77777777" w:rsidTr="00876574">
        <w:tc>
          <w:tcPr>
            <w:tcW w:w="534" w:type="dxa"/>
          </w:tcPr>
          <w:p w14:paraId="49320DBC" w14:textId="77777777" w:rsidR="00CC3F9D" w:rsidRPr="00AE6B57" w:rsidRDefault="00CC3F9D" w:rsidP="00BA178E">
            <w:pPr>
              <w:rPr>
                <w:rFonts w:ascii="Verdana" w:hAnsi="Verdana"/>
              </w:rPr>
            </w:pPr>
          </w:p>
        </w:tc>
        <w:tc>
          <w:tcPr>
            <w:tcW w:w="312" w:type="dxa"/>
          </w:tcPr>
          <w:p w14:paraId="2045BD91" w14:textId="10CD2D77" w:rsidR="00CC3F9D" w:rsidRPr="00AE6B57" w:rsidRDefault="00CC3F9D" w:rsidP="00BA178E">
            <w:pPr>
              <w:rPr>
                <w:rFonts w:ascii="Verdana" w:hAnsi="Verdana"/>
                <w:b/>
              </w:rPr>
            </w:pPr>
            <w:r>
              <w:rPr>
                <w:rFonts w:ascii="Verdana" w:hAnsi="Verdana"/>
                <w:b/>
              </w:rPr>
              <w:t>.</w:t>
            </w:r>
          </w:p>
        </w:tc>
        <w:tc>
          <w:tcPr>
            <w:tcW w:w="8618" w:type="dxa"/>
          </w:tcPr>
          <w:p w14:paraId="2E86161B" w14:textId="4826F654" w:rsidR="00CC3F9D" w:rsidRPr="00CC60A2" w:rsidRDefault="00CC3F9D" w:rsidP="00BA178E">
            <w:pPr>
              <w:rPr>
                <w:rFonts w:ascii="Verdana" w:hAnsi="Verdana" w:cs="Arial"/>
              </w:rPr>
            </w:pPr>
            <w:r>
              <w:rPr>
                <w:rFonts w:ascii="Verdana" w:hAnsi="Verdana" w:cs="Arial"/>
              </w:rPr>
              <w:t>f</w:t>
            </w:r>
            <w:r w:rsidRPr="00CC60A2">
              <w:rPr>
                <w:rFonts w:ascii="Verdana" w:hAnsi="Verdana" w:cs="Arial"/>
              </w:rPr>
              <w:t xml:space="preserve">or the 342 students who required confidential welfare and personal support, achievement </w:t>
            </w:r>
            <w:r>
              <w:rPr>
                <w:rFonts w:ascii="Verdana" w:hAnsi="Verdana" w:cs="Arial"/>
              </w:rPr>
              <w:t>had been</w:t>
            </w:r>
            <w:r w:rsidRPr="00CC60A2">
              <w:rPr>
                <w:rFonts w:ascii="Verdana" w:hAnsi="Verdana" w:cs="Arial"/>
              </w:rPr>
              <w:t xml:space="preserve"> broadly in line with the college average</w:t>
            </w:r>
            <w:r>
              <w:rPr>
                <w:rFonts w:ascii="Verdana" w:hAnsi="Verdana" w:cs="Arial"/>
              </w:rPr>
              <w:t>, though</w:t>
            </w:r>
            <w:r w:rsidRPr="00CC60A2">
              <w:rPr>
                <w:rFonts w:ascii="Verdana" w:hAnsi="Verdana" w:cs="Arial"/>
              </w:rPr>
              <w:t xml:space="preserve"> an achievement gap of around 10%</w:t>
            </w:r>
            <w:r>
              <w:rPr>
                <w:rFonts w:ascii="Verdana" w:hAnsi="Verdana" w:cs="Arial"/>
              </w:rPr>
              <w:t xml:space="preserve"> had been observed</w:t>
            </w:r>
            <w:r w:rsidRPr="00CC60A2">
              <w:rPr>
                <w:rFonts w:ascii="Verdana" w:hAnsi="Verdana" w:cs="Arial"/>
              </w:rPr>
              <w:t xml:space="preserve"> for students with significant Safeguarding concerns.</w:t>
            </w:r>
          </w:p>
        </w:tc>
      </w:tr>
    </w:tbl>
    <w:p w14:paraId="17BD7833" w14:textId="51596529" w:rsidR="00CC60A2" w:rsidRDefault="00CC60A2" w:rsidP="00CC60A2">
      <w:pPr>
        <w:rPr>
          <w:color w:val="FF0000"/>
        </w:rPr>
      </w:pPr>
    </w:p>
    <w:p w14:paraId="6D8ABD71" w14:textId="7E92994C" w:rsidR="00876574" w:rsidRDefault="00876574" w:rsidP="00CC60A2">
      <w:pPr>
        <w:rPr>
          <w:color w:val="FF0000"/>
        </w:rPr>
      </w:pPr>
    </w:p>
    <w:p w14:paraId="5910058C" w14:textId="56B1BF53" w:rsidR="00876574" w:rsidRDefault="00876574" w:rsidP="00CC60A2">
      <w:pPr>
        <w:rPr>
          <w:color w:val="FF0000"/>
        </w:rPr>
      </w:pPr>
    </w:p>
    <w:p w14:paraId="7C05A977" w14:textId="00434407" w:rsidR="00876574" w:rsidRDefault="00876574" w:rsidP="00CC60A2">
      <w:pPr>
        <w:rPr>
          <w:color w:val="FF0000"/>
        </w:rPr>
      </w:pPr>
    </w:p>
    <w:p w14:paraId="2F957585" w14:textId="77777777" w:rsidR="00876574" w:rsidRDefault="00876574" w:rsidP="00CC60A2">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CC60A2" w:rsidRPr="006D35B2" w14:paraId="7ACBF854" w14:textId="77777777" w:rsidTr="00876574">
        <w:tc>
          <w:tcPr>
            <w:tcW w:w="529" w:type="dxa"/>
            <w:shd w:val="clear" w:color="auto" w:fill="auto"/>
            <w:tcMar>
              <w:top w:w="0" w:type="dxa"/>
              <w:left w:w="108" w:type="dxa"/>
              <w:bottom w:w="0" w:type="dxa"/>
              <w:right w:w="108" w:type="dxa"/>
            </w:tcMar>
          </w:tcPr>
          <w:p w14:paraId="5AB8F03A" w14:textId="77777777" w:rsidR="00CC60A2" w:rsidRDefault="00CC60A2" w:rsidP="00BA178E">
            <w:pPr>
              <w:pStyle w:val="NoSpacing"/>
              <w:rPr>
                <w:b/>
              </w:rPr>
            </w:pPr>
          </w:p>
        </w:tc>
        <w:tc>
          <w:tcPr>
            <w:tcW w:w="8935" w:type="dxa"/>
            <w:shd w:val="clear" w:color="auto" w:fill="auto"/>
            <w:tcMar>
              <w:top w:w="0" w:type="dxa"/>
              <w:left w:w="108" w:type="dxa"/>
              <w:bottom w:w="0" w:type="dxa"/>
              <w:right w:w="108" w:type="dxa"/>
            </w:tcMar>
          </w:tcPr>
          <w:p w14:paraId="03E4C7A7" w14:textId="77777777" w:rsidR="00CC60A2" w:rsidRPr="006D35B2" w:rsidRDefault="00CC60A2" w:rsidP="00BA178E">
            <w:pPr>
              <w:rPr>
                <w:rFonts w:ascii="Verdana" w:hAnsi="Verdana"/>
              </w:rPr>
            </w:pPr>
            <w:r>
              <w:rPr>
                <w:rFonts w:ascii="Verdana" w:hAnsi="Verdana"/>
              </w:rPr>
              <w:t xml:space="preserve">It was specifically noted that: </w:t>
            </w:r>
          </w:p>
        </w:tc>
      </w:tr>
    </w:tbl>
    <w:p w14:paraId="7E02A439" w14:textId="77777777" w:rsidR="00CC60A2" w:rsidRDefault="00CC60A2" w:rsidP="00CC60A2">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CC60A2" w:rsidRPr="007663F3" w14:paraId="69376604" w14:textId="77777777" w:rsidTr="00876574">
        <w:tc>
          <w:tcPr>
            <w:tcW w:w="534" w:type="dxa"/>
          </w:tcPr>
          <w:p w14:paraId="46632CB2" w14:textId="77777777" w:rsidR="00CC60A2" w:rsidRPr="000079FB" w:rsidRDefault="00CC60A2" w:rsidP="00BA178E">
            <w:pPr>
              <w:rPr>
                <w:rFonts w:ascii="Verdana" w:hAnsi="Verdana"/>
              </w:rPr>
            </w:pPr>
          </w:p>
        </w:tc>
        <w:tc>
          <w:tcPr>
            <w:tcW w:w="312" w:type="dxa"/>
          </w:tcPr>
          <w:p w14:paraId="65B68A98" w14:textId="77777777" w:rsidR="00CC60A2" w:rsidRPr="000079FB" w:rsidRDefault="00CC60A2" w:rsidP="00BA178E">
            <w:pPr>
              <w:rPr>
                <w:rFonts w:ascii="Verdana" w:hAnsi="Verdana"/>
                <w:b/>
              </w:rPr>
            </w:pPr>
            <w:r w:rsidRPr="000079FB">
              <w:rPr>
                <w:rFonts w:ascii="Verdana" w:hAnsi="Verdana"/>
                <w:b/>
              </w:rPr>
              <w:t>.</w:t>
            </w:r>
          </w:p>
        </w:tc>
        <w:tc>
          <w:tcPr>
            <w:tcW w:w="8618" w:type="dxa"/>
          </w:tcPr>
          <w:p w14:paraId="548690F9" w14:textId="33AFD9CC" w:rsidR="00CC3F9D" w:rsidRPr="00CC3F9D" w:rsidRDefault="00CC3F9D" w:rsidP="00BA178E">
            <w:pPr>
              <w:pStyle w:val="NoSpacing"/>
            </w:pPr>
            <w:r w:rsidRPr="00CC3F9D">
              <w:t xml:space="preserve">there had been a continued increase in students with concerns related to gangs and youth violence, with a number of students having been victims of robbery on their way to and from college, which </w:t>
            </w:r>
            <w:r w:rsidR="004708D4">
              <w:t>had led to</w:t>
            </w:r>
            <w:r w:rsidRPr="00CC3F9D">
              <w:t xml:space="preserve"> close working with the Police in order to suppress the activity;</w:t>
            </w:r>
          </w:p>
          <w:p w14:paraId="596DED59" w14:textId="43133FE2" w:rsidR="00CC60A2" w:rsidRPr="00CC3F9D" w:rsidRDefault="00CC3F9D" w:rsidP="00BA178E">
            <w:pPr>
              <w:pStyle w:val="NoSpacing"/>
            </w:pPr>
            <w:r w:rsidRPr="00CC3F9D">
              <w:t xml:space="preserve"> </w:t>
            </w:r>
          </w:p>
        </w:tc>
      </w:tr>
      <w:tr w:rsidR="00CC60A2" w:rsidRPr="00AE6B57" w14:paraId="28F9A1B8" w14:textId="77777777" w:rsidTr="00876574">
        <w:tc>
          <w:tcPr>
            <w:tcW w:w="534" w:type="dxa"/>
          </w:tcPr>
          <w:p w14:paraId="0D519CDF" w14:textId="77777777" w:rsidR="00CC60A2" w:rsidRPr="000079FB" w:rsidRDefault="00CC60A2" w:rsidP="00BA178E">
            <w:pPr>
              <w:rPr>
                <w:rFonts w:ascii="Verdana" w:hAnsi="Verdana"/>
              </w:rPr>
            </w:pPr>
          </w:p>
        </w:tc>
        <w:tc>
          <w:tcPr>
            <w:tcW w:w="312" w:type="dxa"/>
          </w:tcPr>
          <w:p w14:paraId="0EFBBC54" w14:textId="77777777" w:rsidR="00CC60A2" w:rsidRPr="000079FB" w:rsidRDefault="00CC60A2" w:rsidP="00BA178E">
            <w:pPr>
              <w:rPr>
                <w:rFonts w:ascii="Verdana" w:hAnsi="Verdana"/>
                <w:b/>
              </w:rPr>
            </w:pPr>
            <w:r>
              <w:rPr>
                <w:rFonts w:ascii="Verdana" w:hAnsi="Verdana"/>
                <w:b/>
              </w:rPr>
              <w:t>.</w:t>
            </w:r>
          </w:p>
        </w:tc>
        <w:tc>
          <w:tcPr>
            <w:tcW w:w="8618" w:type="dxa"/>
          </w:tcPr>
          <w:p w14:paraId="07EF7ADD" w14:textId="77777777" w:rsidR="00CC60A2" w:rsidRPr="00CC3F9D" w:rsidRDefault="00CC3F9D" w:rsidP="00BA178E">
            <w:pPr>
              <w:rPr>
                <w:rFonts w:ascii="Verdana" w:hAnsi="Verdana"/>
              </w:rPr>
            </w:pPr>
            <w:r w:rsidRPr="00CC3F9D">
              <w:rPr>
                <w:rFonts w:ascii="Verdana" w:hAnsi="Verdana"/>
              </w:rPr>
              <w:t>one Prevent-related concern had been recorded in 2019-20 requiring partnership work with the Redbridge and Waltham Forest Prevent teams;</w:t>
            </w:r>
          </w:p>
          <w:p w14:paraId="184BA4B0" w14:textId="283B59C4" w:rsidR="00CC3F9D" w:rsidRPr="00CC3F9D" w:rsidRDefault="00CC3F9D" w:rsidP="00BA178E">
            <w:pPr>
              <w:rPr>
                <w:rFonts w:ascii="Verdana" w:hAnsi="Verdana"/>
                <w:i/>
                <w:iCs/>
              </w:rPr>
            </w:pPr>
          </w:p>
        </w:tc>
      </w:tr>
      <w:tr w:rsidR="00CC60A2" w:rsidRPr="00FD29AA" w14:paraId="2101B232" w14:textId="77777777" w:rsidTr="00876574">
        <w:tc>
          <w:tcPr>
            <w:tcW w:w="534" w:type="dxa"/>
          </w:tcPr>
          <w:p w14:paraId="0BBDE903" w14:textId="77777777" w:rsidR="00CC60A2" w:rsidRPr="00AE6B57" w:rsidRDefault="00CC60A2" w:rsidP="00BA178E">
            <w:pPr>
              <w:rPr>
                <w:rFonts w:ascii="Verdana" w:hAnsi="Verdana"/>
              </w:rPr>
            </w:pPr>
          </w:p>
        </w:tc>
        <w:tc>
          <w:tcPr>
            <w:tcW w:w="312" w:type="dxa"/>
          </w:tcPr>
          <w:p w14:paraId="0FA0D16A" w14:textId="77777777" w:rsidR="00CC60A2" w:rsidRPr="00AE6B57" w:rsidRDefault="00CC60A2" w:rsidP="00BA178E">
            <w:pPr>
              <w:rPr>
                <w:rFonts w:ascii="Verdana" w:hAnsi="Verdana"/>
                <w:b/>
              </w:rPr>
            </w:pPr>
            <w:r w:rsidRPr="00AE6B57">
              <w:rPr>
                <w:rFonts w:ascii="Verdana" w:hAnsi="Verdana"/>
                <w:b/>
              </w:rPr>
              <w:t>.</w:t>
            </w:r>
          </w:p>
        </w:tc>
        <w:tc>
          <w:tcPr>
            <w:tcW w:w="8618" w:type="dxa"/>
          </w:tcPr>
          <w:p w14:paraId="285E4938" w14:textId="7C982441" w:rsidR="00CC60A2" w:rsidRPr="00E66BCE" w:rsidRDefault="00CC3F9D" w:rsidP="00BA178E">
            <w:pPr>
              <w:rPr>
                <w:rFonts w:ascii="Verdana" w:hAnsi="Verdana"/>
              </w:rPr>
            </w:pPr>
            <w:r w:rsidRPr="00E66BCE">
              <w:rPr>
                <w:rFonts w:ascii="Verdana" w:hAnsi="Verdana"/>
              </w:rPr>
              <w:t>male students had continue</w:t>
            </w:r>
            <w:r w:rsidR="00E66BCE" w:rsidRPr="00E66BCE">
              <w:rPr>
                <w:rFonts w:ascii="Verdana" w:hAnsi="Verdana"/>
              </w:rPr>
              <w:t>d</w:t>
            </w:r>
            <w:r w:rsidRPr="00E66BCE">
              <w:rPr>
                <w:rFonts w:ascii="Verdana" w:hAnsi="Verdana"/>
              </w:rPr>
              <w:t xml:space="preserve"> to be</w:t>
            </w:r>
            <w:r w:rsidR="004708D4">
              <w:rPr>
                <w:rFonts w:ascii="Verdana" w:hAnsi="Verdana"/>
              </w:rPr>
              <w:t xml:space="preserve"> disproportionately</w:t>
            </w:r>
            <w:r w:rsidRPr="00E66BCE">
              <w:rPr>
                <w:rFonts w:ascii="Verdana" w:hAnsi="Verdana"/>
              </w:rPr>
              <w:t xml:space="preserve"> under-represented</w:t>
            </w:r>
            <w:r w:rsidR="004708D4">
              <w:rPr>
                <w:rFonts w:ascii="Verdana" w:hAnsi="Verdana"/>
              </w:rPr>
              <w:t xml:space="preserve"> in the data</w:t>
            </w:r>
            <w:r w:rsidR="00E66BCE" w:rsidRPr="00E66BCE">
              <w:rPr>
                <w:rFonts w:ascii="Verdana" w:hAnsi="Verdana"/>
              </w:rPr>
              <w:t>,</w:t>
            </w:r>
            <w:r w:rsidRPr="00E66BCE">
              <w:rPr>
                <w:rFonts w:ascii="Verdana" w:hAnsi="Verdana"/>
              </w:rPr>
              <w:t xml:space="preserve"> </w:t>
            </w:r>
            <w:r w:rsidR="00E66BCE" w:rsidRPr="00E66BCE">
              <w:rPr>
                <w:rFonts w:ascii="Verdana" w:hAnsi="Verdana"/>
              </w:rPr>
              <w:t>being</w:t>
            </w:r>
            <w:r w:rsidRPr="00E66BCE">
              <w:rPr>
                <w:rFonts w:ascii="Verdana" w:hAnsi="Verdana"/>
              </w:rPr>
              <w:t xml:space="preserve"> less open to reporting Safeguarding concerns, and more likely to keep issues to themselves or be fearful of being seen as</w:t>
            </w:r>
            <w:r w:rsidR="00E66BCE" w:rsidRPr="00E66BCE">
              <w:rPr>
                <w:rFonts w:ascii="Verdana" w:hAnsi="Verdana"/>
              </w:rPr>
              <w:t xml:space="preserve"> informants - </w:t>
            </w:r>
            <w:r w:rsidRPr="00E66BCE">
              <w:rPr>
                <w:rFonts w:ascii="Verdana" w:hAnsi="Verdana"/>
              </w:rPr>
              <w:t>interventions</w:t>
            </w:r>
            <w:r w:rsidR="00E66BCE" w:rsidRPr="00E66BCE">
              <w:rPr>
                <w:rFonts w:ascii="Verdana" w:hAnsi="Verdana"/>
              </w:rPr>
              <w:t xml:space="preserve"> to address th</w:t>
            </w:r>
            <w:r w:rsidR="004708D4">
              <w:rPr>
                <w:rFonts w:ascii="Verdana" w:hAnsi="Verdana"/>
              </w:rPr>
              <w:t>is</w:t>
            </w:r>
            <w:r w:rsidR="00E66BCE" w:rsidRPr="00E66BCE">
              <w:rPr>
                <w:rFonts w:ascii="Verdana" w:hAnsi="Verdana"/>
              </w:rPr>
              <w:t xml:space="preserve"> issue</w:t>
            </w:r>
            <w:r w:rsidRPr="00E66BCE">
              <w:rPr>
                <w:rFonts w:ascii="Verdana" w:hAnsi="Verdana"/>
              </w:rPr>
              <w:t xml:space="preserve"> will continue in </w:t>
            </w:r>
            <w:r w:rsidR="00E66BCE" w:rsidRPr="00E66BCE">
              <w:rPr>
                <w:rFonts w:ascii="Verdana" w:hAnsi="Verdana"/>
              </w:rPr>
              <w:t>2020-21;</w:t>
            </w:r>
          </w:p>
          <w:p w14:paraId="278E8143" w14:textId="2427DD37" w:rsidR="00E66BCE" w:rsidRPr="00E66BCE" w:rsidRDefault="00E66BCE" w:rsidP="00BA178E">
            <w:pPr>
              <w:rPr>
                <w:rFonts w:ascii="Verdana" w:hAnsi="Verdana"/>
              </w:rPr>
            </w:pPr>
          </w:p>
        </w:tc>
      </w:tr>
      <w:tr w:rsidR="00E66BCE" w:rsidRPr="00FD29AA" w14:paraId="4E0B1BCC" w14:textId="77777777" w:rsidTr="00876574">
        <w:tc>
          <w:tcPr>
            <w:tcW w:w="534" w:type="dxa"/>
          </w:tcPr>
          <w:p w14:paraId="784525DA" w14:textId="77777777" w:rsidR="00E66BCE" w:rsidRPr="00AE6B57" w:rsidRDefault="00E66BCE" w:rsidP="00BA178E">
            <w:pPr>
              <w:rPr>
                <w:rFonts w:ascii="Verdana" w:hAnsi="Verdana"/>
              </w:rPr>
            </w:pPr>
          </w:p>
        </w:tc>
        <w:tc>
          <w:tcPr>
            <w:tcW w:w="312" w:type="dxa"/>
          </w:tcPr>
          <w:p w14:paraId="0FCA1642" w14:textId="52616472" w:rsidR="00E66BCE" w:rsidRPr="00AE6B57" w:rsidRDefault="00E66BCE" w:rsidP="00BA178E">
            <w:pPr>
              <w:rPr>
                <w:rFonts w:ascii="Verdana" w:hAnsi="Verdana"/>
                <w:b/>
              </w:rPr>
            </w:pPr>
            <w:r>
              <w:rPr>
                <w:rFonts w:ascii="Verdana" w:hAnsi="Verdana"/>
                <w:b/>
              </w:rPr>
              <w:t>.</w:t>
            </w:r>
          </w:p>
        </w:tc>
        <w:tc>
          <w:tcPr>
            <w:tcW w:w="8618" w:type="dxa"/>
          </w:tcPr>
          <w:p w14:paraId="43EC2154" w14:textId="20C20A34" w:rsidR="00E66BCE" w:rsidRPr="00E66BCE" w:rsidRDefault="00E66BCE" w:rsidP="00BA178E">
            <w:pPr>
              <w:rPr>
                <w:rFonts w:ascii="Verdana" w:hAnsi="Verdana" w:cs="Calibri"/>
                <w:lang w:eastAsia="en-GB"/>
              </w:rPr>
            </w:pPr>
            <w:r w:rsidRPr="00E66BCE">
              <w:rPr>
                <w:rFonts w:ascii="Verdana" w:hAnsi="Verdana"/>
              </w:rPr>
              <w:t>termly internal a</w:t>
            </w:r>
            <w:r w:rsidRPr="00E66BCE">
              <w:rPr>
                <w:rFonts w:ascii="Verdana" w:hAnsi="Verdana" w:cs="Calibri"/>
              </w:rPr>
              <w:t xml:space="preserve">udits during 2019-20 had </w:t>
            </w:r>
            <w:r w:rsidRPr="00E66BCE">
              <w:rPr>
                <w:rFonts w:ascii="Verdana" w:hAnsi="Verdana" w:cs="Calibri"/>
                <w:lang w:eastAsia="en-GB"/>
              </w:rPr>
              <w:t>demonstrated that the Safeguarding Team listens to learners</w:t>
            </w:r>
            <w:r w:rsidR="004708D4">
              <w:rPr>
                <w:rFonts w:ascii="Verdana" w:hAnsi="Verdana" w:cs="Calibri"/>
                <w:lang w:eastAsia="en-GB"/>
              </w:rPr>
              <w:t>’</w:t>
            </w:r>
            <w:r w:rsidRPr="00E66BCE">
              <w:rPr>
                <w:rFonts w:ascii="Verdana" w:hAnsi="Verdana" w:cs="Calibri"/>
                <w:lang w:eastAsia="en-GB"/>
              </w:rPr>
              <w:t xml:space="preserve"> concerns and acts appropriately;</w:t>
            </w:r>
          </w:p>
          <w:p w14:paraId="56C49168" w14:textId="251C260A" w:rsidR="00E66BCE" w:rsidRPr="00E66BCE" w:rsidRDefault="00E66BCE" w:rsidP="00BA178E">
            <w:pPr>
              <w:rPr>
                <w:rFonts w:ascii="Verdana" w:hAnsi="Verdana"/>
              </w:rPr>
            </w:pPr>
          </w:p>
        </w:tc>
      </w:tr>
      <w:tr w:rsidR="00E66BCE" w:rsidRPr="00FD29AA" w14:paraId="471086C7" w14:textId="77777777" w:rsidTr="00876574">
        <w:tc>
          <w:tcPr>
            <w:tcW w:w="534" w:type="dxa"/>
          </w:tcPr>
          <w:p w14:paraId="7C1D3B39" w14:textId="77777777" w:rsidR="00E66BCE" w:rsidRPr="00AE6B57" w:rsidRDefault="00E66BCE" w:rsidP="00BA178E">
            <w:pPr>
              <w:rPr>
                <w:rFonts w:ascii="Verdana" w:hAnsi="Verdana"/>
              </w:rPr>
            </w:pPr>
          </w:p>
        </w:tc>
        <w:tc>
          <w:tcPr>
            <w:tcW w:w="312" w:type="dxa"/>
          </w:tcPr>
          <w:p w14:paraId="0875F92A" w14:textId="21F8C2CF" w:rsidR="00E66BCE" w:rsidRDefault="00E66BCE" w:rsidP="00BA178E">
            <w:pPr>
              <w:rPr>
                <w:rFonts w:ascii="Verdana" w:hAnsi="Verdana"/>
                <w:b/>
              </w:rPr>
            </w:pPr>
            <w:r>
              <w:rPr>
                <w:rFonts w:ascii="Verdana" w:hAnsi="Verdana"/>
                <w:b/>
              </w:rPr>
              <w:t>.</w:t>
            </w:r>
          </w:p>
        </w:tc>
        <w:tc>
          <w:tcPr>
            <w:tcW w:w="8618" w:type="dxa"/>
          </w:tcPr>
          <w:p w14:paraId="06669BA8" w14:textId="76EEBD01" w:rsidR="00E66BCE" w:rsidRDefault="00E66BCE" w:rsidP="00BA178E">
            <w:pPr>
              <w:rPr>
                <w:rFonts w:ascii="Verdana" w:hAnsi="Verdana" w:cs="Calibri"/>
                <w:lang w:eastAsia="en-GB"/>
              </w:rPr>
            </w:pPr>
            <w:r w:rsidRPr="00E66BCE">
              <w:rPr>
                <w:rFonts w:ascii="Verdana" w:hAnsi="Verdana" w:cs="Calibri"/>
                <w:lang w:eastAsia="en-GB"/>
              </w:rPr>
              <w:t xml:space="preserve">94% of students </w:t>
            </w:r>
            <w:r>
              <w:rPr>
                <w:rFonts w:ascii="Verdana" w:hAnsi="Verdana" w:cs="Calibri"/>
                <w:lang w:eastAsia="en-GB"/>
              </w:rPr>
              <w:t xml:space="preserve">had </w:t>
            </w:r>
            <w:r w:rsidRPr="00E66BCE">
              <w:rPr>
                <w:rFonts w:ascii="Verdana" w:hAnsi="Verdana" w:cs="Calibri"/>
                <w:lang w:eastAsia="en-GB"/>
              </w:rPr>
              <w:t>agreed that they felt safe in College in December 2019 (88% December 2018, 88% December 2017)</w:t>
            </w:r>
            <w:r>
              <w:rPr>
                <w:rFonts w:ascii="Verdana" w:hAnsi="Verdana" w:cs="Calibri"/>
                <w:lang w:eastAsia="en-GB"/>
              </w:rPr>
              <w:t xml:space="preserve">, </w:t>
            </w:r>
            <w:r w:rsidRPr="00E66BCE">
              <w:rPr>
                <w:rFonts w:ascii="Verdana" w:hAnsi="Verdana" w:cs="Calibri"/>
                <w:lang w:eastAsia="en-GB"/>
              </w:rPr>
              <w:t>demonstrat</w:t>
            </w:r>
            <w:r>
              <w:rPr>
                <w:rFonts w:ascii="Verdana" w:hAnsi="Verdana" w:cs="Calibri"/>
                <w:lang w:eastAsia="en-GB"/>
              </w:rPr>
              <w:t>ing</w:t>
            </w:r>
            <w:r w:rsidRPr="00E66BCE">
              <w:rPr>
                <w:rFonts w:ascii="Verdana" w:hAnsi="Verdana" w:cs="Calibri"/>
                <w:lang w:eastAsia="en-GB"/>
              </w:rPr>
              <w:t xml:space="preserve"> a sustained improvement from February 2016, whe</w:t>
            </w:r>
            <w:r>
              <w:rPr>
                <w:rFonts w:ascii="Verdana" w:hAnsi="Verdana" w:cs="Calibri"/>
                <w:lang w:eastAsia="en-GB"/>
              </w:rPr>
              <w:t>n</w:t>
            </w:r>
            <w:r w:rsidRPr="00E66BCE">
              <w:rPr>
                <w:rFonts w:ascii="Verdana" w:hAnsi="Verdana" w:cs="Calibri"/>
                <w:lang w:eastAsia="en-GB"/>
              </w:rPr>
              <w:t xml:space="preserve"> </w:t>
            </w:r>
            <w:r w:rsidR="004708D4">
              <w:rPr>
                <w:rFonts w:ascii="Verdana" w:hAnsi="Verdana" w:cs="Calibri"/>
                <w:lang w:eastAsia="en-GB"/>
              </w:rPr>
              <w:t xml:space="preserve">only </w:t>
            </w:r>
            <w:r w:rsidRPr="00E66BCE">
              <w:rPr>
                <w:rFonts w:ascii="Verdana" w:hAnsi="Verdana" w:cs="Calibri"/>
                <w:lang w:eastAsia="en-GB"/>
              </w:rPr>
              <w:t>74% of students</w:t>
            </w:r>
            <w:r w:rsidR="004708D4">
              <w:rPr>
                <w:rFonts w:ascii="Verdana" w:hAnsi="Verdana" w:cs="Calibri"/>
                <w:lang w:eastAsia="en-GB"/>
              </w:rPr>
              <w:t xml:space="preserve"> had</w:t>
            </w:r>
            <w:r w:rsidRPr="00E66BCE">
              <w:rPr>
                <w:rFonts w:ascii="Verdana" w:hAnsi="Verdana" w:cs="Calibri"/>
                <w:lang w:eastAsia="en-GB"/>
              </w:rPr>
              <w:t xml:space="preserve"> reported feeling safe</w:t>
            </w:r>
            <w:r>
              <w:rPr>
                <w:rFonts w:ascii="Verdana" w:hAnsi="Verdana" w:cs="Calibri"/>
                <w:lang w:eastAsia="en-GB"/>
              </w:rPr>
              <w:t>;</w:t>
            </w:r>
          </w:p>
          <w:p w14:paraId="30E472B0" w14:textId="32050A3D" w:rsidR="00E66BCE" w:rsidRPr="00E66BCE" w:rsidRDefault="00E66BCE" w:rsidP="00BA178E">
            <w:pPr>
              <w:rPr>
                <w:rFonts w:ascii="Verdana" w:hAnsi="Verdana"/>
              </w:rPr>
            </w:pPr>
            <w:r w:rsidRPr="00E66BCE">
              <w:rPr>
                <w:rFonts w:ascii="Verdana" w:hAnsi="Verdana" w:cs="Calibri"/>
                <w:lang w:eastAsia="en-GB"/>
              </w:rPr>
              <w:t xml:space="preserve"> </w:t>
            </w:r>
          </w:p>
        </w:tc>
      </w:tr>
      <w:tr w:rsidR="00E66BCE" w:rsidRPr="00FD29AA" w14:paraId="5609815C" w14:textId="77777777" w:rsidTr="00876574">
        <w:tc>
          <w:tcPr>
            <w:tcW w:w="534" w:type="dxa"/>
          </w:tcPr>
          <w:p w14:paraId="600F6D03" w14:textId="77777777" w:rsidR="00E66BCE" w:rsidRPr="00AE6B57" w:rsidRDefault="00E66BCE" w:rsidP="00BA178E">
            <w:pPr>
              <w:rPr>
                <w:rFonts w:ascii="Verdana" w:hAnsi="Verdana"/>
              </w:rPr>
            </w:pPr>
          </w:p>
        </w:tc>
        <w:tc>
          <w:tcPr>
            <w:tcW w:w="312" w:type="dxa"/>
          </w:tcPr>
          <w:p w14:paraId="4AD5FB6F" w14:textId="5F563718" w:rsidR="00E66BCE" w:rsidRDefault="00E66BCE" w:rsidP="00BA178E">
            <w:pPr>
              <w:rPr>
                <w:rFonts w:ascii="Verdana" w:hAnsi="Verdana"/>
                <w:b/>
              </w:rPr>
            </w:pPr>
            <w:r>
              <w:rPr>
                <w:rFonts w:ascii="Verdana" w:hAnsi="Verdana"/>
                <w:b/>
              </w:rPr>
              <w:t>.</w:t>
            </w:r>
          </w:p>
        </w:tc>
        <w:tc>
          <w:tcPr>
            <w:tcW w:w="8618" w:type="dxa"/>
          </w:tcPr>
          <w:p w14:paraId="3EB47BA9" w14:textId="77777777" w:rsidR="00E66BCE" w:rsidRDefault="00E66BCE" w:rsidP="00BA178E">
            <w:pPr>
              <w:rPr>
                <w:rFonts w:ascii="Verdana" w:hAnsi="Verdana" w:cs="Calibri"/>
                <w:lang w:eastAsia="en-GB"/>
              </w:rPr>
            </w:pPr>
            <w:r w:rsidRPr="00E66BCE">
              <w:rPr>
                <w:rFonts w:ascii="Verdana" w:hAnsi="Verdana" w:cs="Calibri"/>
                <w:lang w:eastAsia="en-GB"/>
              </w:rPr>
              <w:t>Black British</w:t>
            </w:r>
            <w:r>
              <w:rPr>
                <w:rFonts w:ascii="Verdana" w:hAnsi="Verdana" w:cs="Calibri"/>
                <w:lang w:eastAsia="en-GB"/>
              </w:rPr>
              <w:t>/</w:t>
            </w:r>
            <w:r w:rsidRPr="00E66BCE">
              <w:rPr>
                <w:rFonts w:ascii="Verdana" w:hAnsi="Verdana" w:cs="Calibri"/>
                <w:lang w:eastAsia="en-GB"/>
              </w:rPr>
              <w:t>Caribbean and Black British</w:t>
            </w:r>
            <w:r>
              <w:rPr>
                <w:rFonts w:ascii="Verdana" w:hAnsi="Verdana" w:cs="Calibri"/>
                <w:lang w:eastAsia="en-GB"/>
              </w:rPr>
              <w:t>/</w:t>
            </w:r>
            <w:r w:rsidRPr="00E66BCE">
              <w:rPr>
                <w:rFonts w:ascii="Verdana" w:hAnsi="Verdana" w:cs="Calibri"/>
                <w:lang w:eastAsia="en-GB"/>
              </w:rPr>
              <w:t xml:space="preserve">African students </w:t>
            </w:r>
            <w:r>
              <w:rPr>
                <w:rFonts w:ascii="Verdana" w:hAnsi="Verdana" w:cs="Calibri"/>
                <w:lang w:eastAsia="en-GB"/>
              </w:rPr>
              <w:t>had been</w:t>
            </w:r>
            <w:r w:rsidRPr="00E66BCE">
              <w:rPr>
                <w:rFonts w:ascii="Verdana" w:hAnsi="Verdana" w:cs="Calibri"/>
                <w:lang w:eastAsia="en-GB"/>
              </w:rPr>
              <w:t xml:space="preserve"> marginally more likely to report feeling unsafe</w:t>
            </w:r>
            <w:r>
              <w:rPr>
                <w:rFonts w:ascii="Verdana" w:hAnsi="Verdana" w:cs="Calibri"/>
                <w:lang w:eastAsia="en-GB"/>
              </w:rPr>
              <w:t>,</w:t>
            </w:r>
            <w:r w:rsidRPr="00E66BCE">
              <w:rPr>
                <w:rFonts w:ascii="Verdana" w:hAnsi="Verdana" w:cs="Calibri"/>
                <w:lang w:eastAsia="en-GB"/>
              </w:rPr>
              <w:t xml:space="preserve"> </w:t>
            </w:r>
            <w:r>
              <w:rPr>
                <w:rFonts w:ascii="Verdana" w:hAnsi="Verdana" w:cs="Calibri"/>
                <w:lang w:eastAsia="en-GB"/>
              </w:rPr>
              <w:t>which is a continuing</w:t>
            </w:r>
            <w:r w:rsidRPr="00E66BCE">
              <w:rPr>
                <w:rFonts w:ascii="Verdana" w:hAnsi="Verdana" w:cs="Calibri"/>
                <w:lang w:eastAsia="en-GB"/>
              </w:rPr>
              <w:t xml:space="preserve"> trend over time</w:t>
            </w:r>
            <w:r>
              <w:rPr>
                <w:rFonts w:ascii="Verdana" w:hAnsi="Verdana" w:cs="Calibri"/>
                <w:lang w:eastAsia="en-GB"/>
              </w:rPr>
              <w:t>, and slightly fewer</w:t>
            </w:r>
            <w:r w:rsidRPr="00E66BCE">
              <w:rPr>
                <w:rFonts w:ascii="Verdana" w:hAnsi="Verdana" w:cs="Calibri"/>
                <w:lang w:eastAsia="en-GB"/>
              </w:rPr>
              <w:t xml:space="preserve"> students </w:t>
            </w:r>
            <w:r>
              <w:rPr>
                <w:rFonts w:ascii="Verdana" w:hAnsi="Verdana" w:cs="Calibri"/>
                <w:lang w:eastAsia="en-GB"/>
              </w:rPr>
              <w:t xml:space="preserve">had felt </w:t>
            </w:r>
            <w:r w:rsidRPr="00E66BCE">
              <w:rPr>
                <w:rFonts w:ascii="Verdana" w:hAnsi="Verdana" w:cs="Calibri"/>
                <w:lang w:eastAsia="en-GB"/>
              </w:rPr>
              <w:t>safe travelling to and from</w:t>
            </w:r>
            <w:r>
              <w:rPr>
                <w:rFonts w:ascii="Verdana" w:hAnsi="Verdana" w:cs="Calibri"/>
                <w:lang w:eastAsia="en-GB"/>
              </w:rPr>
              <w:t xml:space="preserve"> the</w:t>
            </w:r>
            <w:r w:rsidRPr="00E66BCE">
              <w:rPr>
                <w:rFonts w:ascii="Verdana" w:hAnsi="Verdana" w:cs="Calibri"/>
                <w:lang w:eastAsia="en-GB"/>
              </w:rPr>
              <w:t xml:space="preserve"> College</w:t>
            </w:r>
            <w:r>
              <w:rPr>
                <w:rFonts w:ascii="Verdana" w:hAnsi="Verdana" w:cs="Calibri"/>
                <w:lang w:eastAsia="en-GB"/>
              </w:rPr>
              <w:t xml:space="preserve">, </w:t>
            </w:r>
            <w:r w:rsidRPr="00E66BCE">
              <w:rPr>
                <w:rFonts w:ascii="Verdana" w:hAnsi="Verdana" w:cs="Calibri"/>
                <w:lang w:eastAsia="en-GB"/>
              </w:rPr>
              <w:t>related</w:t>
            </w:r>
            <w:r>
              <w:rPr>
                <w:rFonts w:ascii="Verdana" w:hAnsi="Verdana" w:cs="Calibri"/>
                <w:lang w:eastAsia="en-GB"/>
              </w:rPr>
              <w:t>, it is believed,</w:t>
            </w:r>
            <w:r w:rsidRPr="00E66BCE">
              <w:rPr>
                <w:rFonts w:ascii="Verdana" w:hAnsi="Verdana" w:cs="Calibri"/>
                <w:lang w:eastAsia="en-GB"/>
              </w:rPr>
              <w:t xml:space="preserve"> to perceptions around gangs and youth violence</w:t>
            </w:r>
            <w:r>
              <w:rPr>
                <w:rFonts w:ascii="Verdana" w:hAnsi="Verdana" w:cs="Calibri"/>
                <w:lang w:eastAsia="en-GB"/>
              </w:rPr>
              <w:t>;</w:t>
            </w:r>
          </w:p>
          <w:p w14:paraId="0E1BA805" w14:textId="4BD82948" w:rsidR="00E66BCE" w:rsidRPr="00E66BCE" w:rsidRDefault="00E66BCE" w:rsidP="00BA178E">
            <w:pPr>
              <w:rPr>
                <w:rFonts w:ascii="Verdana" w:hAnsi="Verdana"/>
              </w:rPr>
            </w:pPr>
          </w:p>
        </w:tc>
      </w:tr>
      <w:tr w:rsidR="00E66BCE" w:rsidRPr="00243BE4" w14:paraId="5E7148D1" w14:textId="77777777" w:rsidTr="00876574">
        <w:tc>
          <w:tcPr>
            <w:tcW w:w="534" w:type="dxa"/>
          </w:tcPr>
          <w:p w14:paraId="45B49371" w14:textId="77777777" w:rsidR="00E66BCE" w:rsidRPr="00243BE4" w:rsidRDefault="00E66BCE" w:rsidP="00BA178E">
            <w:pPr>
              <w:rPr>
                <w:rFonts w:ascii="Verdana" w:hAnsi="Verdana"/>
              </w:rPr>
            </w:pPr>
          </w:p>
        </w:tc>
        <w:tc>
          <w:tcPr>
            <w:tcW w:w="312" w:type="dxa"/>
          </w:tcPr>
          <w:p w14:paraId="3B893AE8" w14:textId="098C80E5" w:rsidR="00E66BCE" w:rsidRPr="00243BE4" w:rsidRDefault="00E66BCE" w:rsidP="00BA178E">
            <w:pPr>
              <w:rPr>
                <w:rFonts w:ascii="Verdana" w:hAnsi="Verdana"/>
                <w:b/>
              </w:rPr>
            </w:pPr>
            <w:r w:rsidRPr="00243BE4">
              <w:rPr>
                <w:rFonts w:ascii="Verdana" w:hAnsi="Verdana"/>
                <w:b/>
              </w:rPr>
              <w:t>.</w:t>
            </w:r>
          </w:p>
        </w:tc>
        <w:tc>
          <w:tcPr>
            <w:tcW w:w="8618" w:type="dxa"/>
          </w:tcPr>
          <w:p w14:paraId="1AA59C7E" w14:textId="3AB7DFD4" w:rsidR="00E66BCE" w:rsidRPr="00243BE4" w:rsidRDefault="00E66BCE" w:rsidP="00BA178E">
            <w:pPr>
              <w:rPr>
                <w:rFonts w:ascii="Verdana" w:hAnsi="Verdana"/>
              </w:rPr>
            </w:pPr>
            <w:r w:rsidRPr="00243BE4">
              <w:rPr>
                <w:rFonts w:ascii="Verdana" w:hAnsi="Verdana"/>
              </w:rPr>
              <w:t xml:space="preserve">during the period in which the College </w:t>
            </w:r>
            <w:r w:rsidR="004708D4">
              <w:rPr>
                <w:rFonts w:ascii="Verdana" w:hAnsi="Verdana"/>
              </w:rPr>
              <w:t>had been</w:t>
            </w:r>
            <w:r w:rsidRPr="00243BE4">
              <w:rPr>
                <w:rFonts w:ascii="Verdana" w:hAnsi="Verdana"/>
              </w:rPr>
              <w:t xml:space="preserve"> operating online, the following specific measures had been taken:</w:t>
            </w:r>
          </w:p>
        </w:tc>
      </w:tr>
    </w:tbl>
    <w:p w14:paraId="7344F050" w14:textId="77777777" w:rsidR="00CC60A2" w:rsidRPr="00243BE4" w:rsidRDefault="00CC60A2" w:rsidP="00626F4B">
      <w:pPr>
        <w:rPr>
          <w:rFonts w:ascii="Verdana" w:hAnsi="Verdana"/>
          <w:color w:val="FF0000"/>
        </w:rPr>
      </w:pPr>
    </w:p>
    <w:tbl>
      <w:tblPr>
        <w:tblStyle w:val="TableGrid"/>
        <w:tblW w:w="9493" w:type="dxa"/>
        <w:tblLook w:val="04A0" w:firstRow="1" w:lastRow="0" w:firstColumn="1" w:lastColumn="0" w:noHBand="0" w:noVBand="1"/>
      </w:tblPr>
      <w:tblGrid>
        <w:gridCol w:w="561"/>
        <w:gridCol w:w="284"/>
        <w:gridCol w:w="296"/>
        <w:gridCol w:w="8352"/>
      </w:tblGrid>
      <w:tr w:rsidR="00201552" w:rsidRPr="00243BE4" w14:paraId="25BDABA0" w14:textId="77777777" w:rsidTr="00876574">
        <w:tc>
          <w:tcPr>
            <w:tcW w:w="561" w:type="dxa"/>
            <w:tcBorders>
              <w:top w:val="nil"/>
              <w:left w:val="nil"/>
              <w:bottom w:val="nil"/>
              <w:right w:val="nil"/>
            </w:tcBorders>
          </w:tcPr>
          <w:p w14:paraId="5DC9F2A4" w14:textId="77777777" w:rsidR="00201552" w:rsidRPr="00243BE4" w:rsidRDefault="00201552" w:rsidP="008167A4">
            <w:pPr>
              <w:rPr>
                <w:rFonts w:ascii="Verdana" w:hAnsi="Verdana"/>
              </w:rPr>
            </w:pPr>
          </w:p>
        </w:tc>
        <w:tc>
          <w:tcPr>
            <w:tcW w:w="284" w:type="dxa"/>
            <w:tcBorders>
              <w:top w:val="nil"/>
              <w:left w:val="nil"/>
              <w:bottom w:val="nil"/>
              <w:right w:val="nil"/>
            </w:tcBorders>
          </w:tcPr>
          <w:p w14:paraId="276E7611" w14:textId="77777777" w:rsidR="00201552" w:rsidRPr="00243BE4" w:rsidRDefault="00201552" w:rsidP="008167A4">
            <w:pPr>
              <w:rPr>
                <w:rFonts w:ascii="Verdana" w:hAnsi="Verdana"/>
              </w:rPr>
            </w:pPr>
          </w:p>
        </w:tc>
        <w:tc>
          <w:tcPr>
            <w:tcW w:w="296" w:type="dxa"/>
            <w:tcBorders>
              <w:top w:val="nil"/>
              <w:left w:val="nil"/>
              <w:bottom w:val="nil"/>
              <w:right w:val="nil"/>
            </w:tcBorders>
          </w:tcPr>
          <w:p w14:paraId="53B420A6" w14:textId="7FBB50ED" w:rsidR="00201552" w:rsidRPr="00243BE4" w:rsidRDefault="00E66BCE" w:rsidP="008167A4">
            <w:pPr>
              <w:rPr>
                <w:rFonts w:ascii="Verdana" w:hAnsi="Verdana"/>
                <w:b/>
                <w:bCs/>
              </w:rPr>
            </w:pPr>
            <w:r w:rsidRPr="00243BE4">
              <w:rPr>
                <w:rFonts w:ascii="Verdana" w:hAnsi="Verdana"/>
                <w:b/>
                <w:bCs/>
              </w:rPr>
              <w:t>.</w:t>
            </w:r>
          </w:p>
        </w:tc>
        <w:tc>
          <w:tcPr>
            <w:tcW w:w="8352" w:type="dxa"/>
            <w:tcBorders>
              <w:top w:val="nil"/>
              <w:left w:val="nil"/>
              <w:bottom w:val="nil"/>
              <w:right w:val="nil"/>
            </w:tcBorders>
          </w:tcPr>
          <w:p w14:paraId="4AEBE558" w14:textId="410EAFCA" w:rsidR="00201552" w:rsidRPr="00243BE4" w:rsidRDefault="00243BE4" w:rsidP="004708D4">
            <w:pPr>
              <w:pStyle w:val="NoSpacing"/>
            </w:pPr>
            <w:r w:rsidRPr="00243BE4">
              <w:t xml:space="preserve">all support staff had been allocated a caseload of students to call each week as part of a ‘Calling Taskforce’, with a focus to check on well-being, </w:t>
            </w:r>
            <w:r w:rsidR="004708D4">
              <w:t xml:space="preserve">to </w:t>
            </w:r>
            <w:r w:rsidRPr="00243BE4">
              <w:t>discuss engagement and attendance with online learning and pick up any issues/concerns -  over 12 000 of these conversations were conducted during the period, 86% of students</w:t>
            </w:r>
            <w:r w:rsidR="004708D4">
              <w:t xml:space="preserve"> having</w:t>
            </w:r>
            <w:r w:rsidRPr="00243BE4">
              <w:t xml:space="preserve"> positively engag</w:t>
            </w:r>
            <w:r w:rsidR="004708D4">
              <w:t>ed</w:t>
            </w:r>
            <w:r w:rsidRPr="00243BE4">
              <w:t xml:space="preserve"> with the service;</w:t>
            </w:r>
          </w:p>
          <w:p w14:paraId="40555C2B" w14:textId="147440F0" w:rsidR="00243BE4" w:rsidRPr="00243BE4" w:rsidRDefault="00243BE4" w:rsidP="00243BE4">
            <w:pPr>
              <w:suppressAutoHyphens w:val="0"/>
              <w:autoSpaceDN/>
              <w:spacing w:line="259" w:lineRule="auto"/>
              <w:textAlignment w:val="auto"/>
              <w:rPr>
                <w:rFonts w:ascii="Verdana" w:hAnsi="Verdana"/>
              </w:rPr>
            </w:pPr>
          </w:p>
        </w:tc>
      </w:tr>
      <w:tr w:rsidR="00201552" w:rsidRPr="00D00B00" w14:paraId="08169413" w14:textId="77777777" w:rsidTr="00876574">
        <w:tc>
          <w:tcPr>
            <w:tcW w:w="561" w:type="dxa"/>
            <w:tcBorders>
              <w:top w:val="nil"/>
              <w:left w:val="nil"/>
              <w:bottom w:val="nil"/>
              <w:right w:val="nil"/>
            </w:tcBorders>
          </w:tcPr>
          <w:p w14:paraId="786DCFF8" w14:textId="77777777" w:rsidR="00201552" w:rsidRPr="00D00B00" w:rsidRDefault="00201552" w:rsidP="008167A4">
            <w:pPr>
              <w:rPr>
                <w:rFonts w:ascii="Verdana" w:hAnsi="Verdana"/>
              </w:rPr>
            </w:pPr>
          </w:p>
        </w:tc>
        <w:tc>
          <w:tcPr>
            <w:tcW w:w="284" w:type="dxa"/>
            <w:tcBorders>
              <w:top w:val="nil"/>
              <w:left w:val="nil"/>
              <w:bottom w:val="nil"/>
              <w:right w:val="nil"/>
            </w:tcBorders>
          </w:tcPr>
          <w:p w14:paraId="27D05BCD" w14:textId="77777777" w:rsidR="00201552" w:rsidRPr="00D00B00" w:rsidRDefault="00201552" w:rsidP="008167A4">
            <w:pPr>
              <w:rPr>
                <w:rFonts w:ascii="Verdana" w:hAnsi="Verdana"/>
              </w:rPr>
            </w:pPr>
          </w:p>
        </w:tc>
        <w:tc>
          <w:tcPr>
            <w:tcW w:w="296" w:type="dxa"/>
            <w:tcBorders>
              <w:top w:val="nil"/>
              <w:left w:val="nil"/>
              <w:bottom w:val="nil"/>
              <w:right w:val="nil"/>
            </w:tcBorders>
          </w:tcPr>
          <w:p w14:paraId="7F5E80F0" w14:textId="501C9533" w:rsidR="00201552" w:rsidRPr="00D00B00" w:rsidRDefault="00E66BCE" w:rsidP="008167A4">
            <w:pPr>
              <w:rPr>
                <w:rFonts w:ascii="Verdana" w:hAnsi="Verdana"/>
                <w:b/>
                <w:bCs/>
              </w:rPr>
            </w:pPr>
            <w:r>
              <w:rPr>
                <w:rFonts w:ascii="Verdana" w:hAnsi="Verdana"/>
                <w:b/>
                <w:bCs/>
              </w:rPr>
              <w:t>.</w:t>
            </w:r>
          </w:p>
        </w:tc>
        <w:tc>
          <w:tcPr>
            <w:tcW w:w="8352" w:type="dxa"/>
            <w:tcBorders>
              <w:top w:val="nil"/>
              <w:left w:val="nil"/>
              <w:bottom w:val="nil"/>
              <w:right w:val="nil"/>
            </w:tcBorders>
          </w:tcPr>
          <w:p w14:paraId="7CE1DD87" w14:textId="5B481B12" w:rsidR="00201552" w:rsidRPr="00243BE4" w:rsidRDefault="00243BE4" w:rsidP="008167A4">
            <w:pPr>
              <w:rPr>
                <w:rFonts w:ascii="Verdana" w:hAnsi="Verdana"/>
              </w:rPr>
            </w:pPr>
            <w:r w:rsidRPr="00243BE4">
              <w:rPr>
                <w:rFonts w:ascii="Verdana" w:hAnsi="Verdana"/>
              </w:rPr>
              <w:t>free school meal funds had been provided to students throughout the Summer Term and the summer holidays to alleviate food poverty;</w:t>
            </w:r>
          </w:p>
          <w:p w14:paraId="6785839A" w14:textId="3E7A8234" w:rsidR="00243BE4" w:rsidRPr="00243BE4" w:rsidRDefault="00243BE4" w:rsidP="008167A4">
            <w:pPr>
              <w:rPr>
                <w:rFonts w:ascii="Verdana" w:hAnsi="Verdana"/>
              </w:rPr>
            </w:pPr>
          </w:p>
        </w:tc>
      </w:tr>
      <w:tr w:rsidR="00E66BCE" w:rsidRPr="00D00B00" w14:paraId="7FD4AC4B" w14:textId="77777777" w:rsidTr="00876574">
        <w:tc>
          <w:tcPr>
            <w:tcW w:w="561" w:type="dxa"/>
            <w:tcBorders>
              <w:top w:val="nil"/>
              <w:left w:val="nil"/>
              <w:bottom w:val="nil"/>
              <w:right w:val="nil"/>
            </w:tcBorders>
          </w:tcPr>
          <w:p w14:paraId="44A45CF2" w14:textId="77777777" w:rsidR="00E66BCE" w:rsidRPr="00D00B00" w:rsidRDefault="00E66BCE" w:rsidP="008167A4">
            <w:pPr>
              <w:rPr>
                <w:rFonts w:ascii="Verdana" w:hAnsi="Verdana"/>
              </w:rPr>
            </w:pPr>
          </w:p>
        </w:tc>
        <w:tc>
          <w:tcPr>
            <w:tcW w:w="284" w:type="dxa"/>
            <w:tcBorders>
              <w:top w:val="nil"/>
              <w:left w:val="nil"/>
              <w:bottom w:val="nil"/>
              <w:right w:val="nil"/>
            </w:tcBorders>
          </w:tcPr>
          <w:p w14:paraId="708E9298" w14:textId="77777777" w:rsidR="00E66BCE" w:rsidRPr="00D00B00" w:rsidRDefault="00E66BCE" w:rsidP="008167A4">
            <w:pPr>
              <w:rPr>
                <w:rFonts w:ascii="Verdana" w:hAnsi="Verdana"/>
              </w:rPr>
            </w:pPr>
          </w:p>
        </w:tc>
        <w:tc>
          <w:tcPr>
            <w:tcW w:w="296" w:type="dxa"/>
            <w:tcBorders>
              <w:top w:val="nil"/>
              <w:left w:val="nil"/>
              <w:bottom w:val="nil"/>
              <w:right w:val="nil"/>
            </w:tcBorders>
          </w:tcPr>
          <w:p w14:paraId="289AB387" w14:textId="73949E2A" w:rsidR="00E66BCE" w:rsidRPr="00D00B00" w:rsidRDefault="00E66BCE" w:rsidP="008167A4">
            <w:pPr>
              <w:rPr>
                <w:rFonts w:ascii="Verdana" w:hAnsi="Verdana"/>
                <w:b/>
                <w:bCs/>
              </w:rPr>
            </w:pPr>
            <w:r>
              <w:rPr>
                <w:rFonts w:ascii="Verdana" w:hAnsi="Verdana"/>
                <w:b/>
                <w:bCs/>
              </w:rPr>
              <w:t>.</w:t>
            </w:r>
          </w:p>
        </w:tc>
        <w:tc>
          <w:tcPr>
            <w:tcW w:w="8352" w:type="dxa"/>
            <w:tcBorders>
              <w:top w:val="nil"/>
              <w:left w:val="nil"/>
              <w:bottom w:val="nil"/>
              <w:right w:val="nil"/>
            </w:tcBorders>
          </w:tcPr>
          <w:p w14:paraId="54B8728B" w14:textId="3400073F" w:rsidR="00243BE4" w:rsidRDefault="00243BE4" w:rsidP="008167A4">
            <w:pPr>
              <w:rPr>
                <w:rFonts w:ascii="Verdana" w:hAnsi="Verdana"/>
              </w:rPr>
            </w:pPr>
            <w:r>
              <w:rPr>
                <w:rFonts w:ascii="Verdana" w:hAnsi="Verdana"/>
              </w:rPr>
              <w:t>n</w:t>
            </w:r>
            <w:r w:rsidRPr="00243BE4">
              <w:rPr>
                <w:rFonts w:ascii="Verdana" w:hAnsi="Verdana"/>
              </w:rPr>
              <w:t xml:space="preserve">ew Safeguarding policies and practices </w:t>
            </w:r>
            <w:r>
              <w:rPr>
                <w:rFonts w:ascii="Verdana" w:hAnsi="Verdana"/>
              </w:rPr>
              <w:t>had been</w:t>
            </w:r>
            <w:r w:rsidRPr="00243BE4">
              <w:rPr>
                <w:rFonts w:ascii="Verdana" w:hAnsi="Verdana"/>
              </w:rPr>
              <w:t xml:space="preserve"> introduced to cover referrals and to ensure that staff and students remain</w:t>
            </w:r>
            <w:r w:rsidR="004708D4">
              <w:rPr>
                <w:rFonts w:ascii="Verdana" w:hAnsi="Verdana"/>
              </w:rPr>
              <w:t>ed</w:t>
            </w:r>
            <w:r w:rsidRPr="00243BE4">
              <w:rPr>
                <w:rFonts w:ascii="Verdana" w:hAnsi="Verdana"/>
              </w:rPr>
              <w:t xml:space="preserve"> safe during online lessons</w:t>
            </w:r>
            <w:r>
              <w:rPr>
                <w:rFonts w:ascii="Verdana" w:hAnsi="Verdana"/>
              </w:rPr>
              <w:t>, with a</w:t>
            </w:r>
            <w:r w:rsidRPr="00243BE4">
              <w:rPr>
                <w:rFonts w:ascii="Verdana" w:hAnsi="Verdana"/>
              </w:rPr>
              <w:t xml:space="preserve">ll staff </w:t>
            </w:r>
            <w:r>
              <w:rPr>
                <w:rFonts w:ascii="Verdana" w:hAnsi="Verdana"/>
              </w:rPr>
              <w:t xml:space="preserve">having </w:t>
            </w:r>
            <w:r w:rsidRPr="00243BE4">
              <w:rPr>
                <w:rFonts w:ascii="Verdana" w:hAnsi="Verdana"/>
              </w:rPr>
              <w:t>received</w:t>
            </w:r>
            <w:r w:rsidR="004708D4">
              <w:rPr>
                <w:rFonts w:ascii="Verdana" w:hAnsi="Verdana"/>
              </w:rPr>
              <w:t xml:space="preserve"> in-house</w:t>
            </w:r>
            <w:r w:rsidRPr="00243BE4">
              <w:rPr>
                <w:rFonts w:ascii="Verdana" w:hAnsi="Verdana"/>
              </w:rPr>
              <w:t xml:space="preserve"> refresher Safeguarding and Prevent training</w:t>
            </w:r>
            <w:r>
              <w:rPr>
                <w:rFonts w:ascii="Verdana" w:hAnsi="Verdana"/>
              </w:rPr>
              <w:t>;</w:t>
            </w:r>
          </w:p>
          <w:p w14:paraId="51E60182" w14:textId="3076B2DC" w:rsidR="00E66BCE" w:rsidRPr="00243BE4" w:rsidRDefault="00243BE4" w:rsidP="008167A4">
            <w:pPr>
              <w:rPr>
                <w:rFonts w:ascii="Verdana" w:hAnsi="Verdana"/>
              </w:rPr>
            </w:pPr>
            <w:r w:rsidRPr="00243BE4">
              <w:rPr>
                <w:rFonts w:ascii="Verdana" w:hAnsi="Verdana"/>
              </w:rPr>
              <w:t xml:space="preserve"> </w:t>
            </w:r>
          </w:p>
        </w:tc>
      </w:tr>
      <w:tr w:rsidR="00E66BCE" w:rsidRPr="00D00B00" w14:paraId="7D217B25" w14:textId="77777777" w:rsidTr="00876574">
        <w:tc>
          <w:tcPr>
            <w:tcW w:w="561" w:type="dxa"/>
            <w:tcBorders>
              <w:top w:val="nil"/>
              <w:left w:val="nil"/>
              <w:bottom w:val="nil"/>
              <w:right w:val="nil"/>
            </w:tcBorders>
          </w:tcPr>
          <w:p w14:paraId="1CE2B1CF" w14:textId="77777777" w:rsidR="00E66BCE" w:rsidRPr="00D00B00" w:rsidRDefault="00E66BCE" w:rsidP="008167A4">
            <w:pPr>
              <w:rPr>
                <w:rFonts w:ascii="Verdana" w:hAnsi="Verdana"/>
              </w:rPr>
            </w:pPr>
          </w:p>
        </w:tc>
        <w:tc>
          <w:tcPr>
            <w:tcW w:w="284" w:type="dxa"/>
            <w:tcBorders>
              <w:top w:val="nil"/>
              <w:left w:val="nil"/>
              <w:bottom w:val="nil"/>
              <w:right w:val="nil"/>
            </w:tcBorders>
          </w:tcPr>
          <w:p w14:paraId="3FCC0FB7" w14:textId="77777777" w:rsidR="00E66BCE" w:rsidRPr="00D00B00" w:rsidRDefault="00E66BCE" w:rsidP="008167A4">
            <w:pPr>
              <w:rPr>
                <w:rFonts w:ascii="Verdana" w:hAnsi="Verdana"/>
              </w:rPr>
            </w:pPr>
          </w:p>
        </w:tc>
        <w:tc>
          <w:tcPr>
            <w:tcW w:w="296" w:type="dxa"/>
            <w:tcBorders>
              <w:top w:val="nil"/>
              <w:left w:val="nil"/>
              <w:bottom w:val="nil"/>
              <w:right w:val="nil"/>
            </w:tcBorders>
          </w:tcPr>
          <w:p w14:paraId="1283BE31" w14:textId="2784ACE4" w:rsidR="00E66BCE" w:rsidRPr="00D00B00" w:rsidRDefault="00E66BCE" w:rsidP="008167A4">
            <w:pPr>
              <w:rPr>
                <w:rFonts w:ascii="Verdana" w:hAnsi="Verdana"/>
                <w:b/>
                <w:bCs/>
              </w:rPr>
            </w:pPr>
            <w:r>
              <w:rPr>
                <w:rFonts w:ascii="Verdana" w:hAnsi="Verdana"/>
                <w:b/>
                <w:bCs/>
              </w:rPr>
              <w:t>.</w:t>
            </w:r>
          </w:p>
        </w:tc>
        <w:tc>
          <w:tcPr>
            <w:tcW w:w="8352" w:type="dxa"/>
            <w:tcBorders>
              <w:top w:val="nil"/>
              <w:left w:val="nil"/>
              <w:bottom w:val="nil"/>
              <w:right w:val="nil"/>
            </w:tcBorders>
          </w:tcPr>
          <w:p w14:paraId="7A7A1FF3" w14:textId="0022CD6A" w:rsidR="00E66BCE" w:rsidRPr="00243BE4" w:rsidRDefault="00243BE4" w:rsidP="008167A4">
            <w:pPr>
              <w:rPr>
                <w:rFonts w:ascii="Verdana" w:hAnsi="Verdana"/>
              </w:rPr>
            </w:pPr>
            <w:r w:rsidRPr="00243BE4">
              <w:rPr>
                <w:rFonts w:ascii="Verdana" w:hAnsi="Verdana"/>
              </w:rPr>
              <w:t>all Safeguarding Officers had received appropriate external specialist refresher training;</w:t>
            </w:r>
          </w:p>
          <w:p w14:paraId="6324280E" w14:textId="75EC049E" w:rsidR="00243BE4" w:rsidRPr="00243BE4" w:rsidRDefault="00243BE4" w:rsidP="008167A4">
            <w:pPr>
              <w:rPr>
                <w:rFonts w:ascii="Verdana" w:hAnsi="Verdana"/>
              </w:rPr>
            </w:pPr>
          </w:p>
        </w:tc>
      </w:tr>
      <w:tr w:rsidR="00E66BCE" w:rsidRPr="00D00B00" w14:paraId="1E0624C0" w14:textId="77777777" w:rsidTr="00876574">
        <w:tc>
          <w:tcPr>
            <w:tcW w:w="561" w:type="dxa"/>
            <w:tcBorders>
              <w:top w:val="nil"/>
              <w:left w:val="nil"/>
              <w:bottom w:val="nil"/>
              <w:right w:val="nil"/>
            </w:tcBorders>
          </w:tcPr>
          <w:p w14:paraId="6235E756" w14:textId="77777777" w:rsidR="00E66BCE" w:rsidRPr="00D00B00" w:rsidRDefault="00E66BCE" w:rsidP="008167A4">
            <w:pPr>
              <w:rPr>
                <w:rFonts w:ascii="Verdana" w:hAnsi="Verdana"/>
              </w:rPr>
            </w:pPr>
          </w:p>
        </w:tc>
        <w:tc>
          <w:tcPr>
            <w:tcW w:w="284" w:type="dxa"/>
            <w:tcBorders>
              <w:top w:val="nil"/>
              <w:left w:val="nil"/>
              <w:bottom w:val="nil"/>
              <w:right w:val="nil"/>
            </w:tcBorders>
          </w:tcPr>
          <w:p w14:paraId="48F8B139" w14:textId="77777777" w:rsidR="00E66BCE" w:rsidRPr="00D00B00" w:rsidRDefault="00E66BCE" w:rsidP="008167A4">
            <w:pPr>
              <w:rPr>
                <w:rFonts w:ascii="Verdana" w:hAnsi="Verdana"/>
              </w:rPr>
            </w:pPr>
          </w:p>
        </w:tc>
        <w:tc>
          <w:tcPr>
            <w:tcW w:w="296" w:type="dxa"/>
            <w:tcBorders>
              <w:top w:val="nil"/>
              <w:left w:val="nil"/>
              <w:bottom w:val="nil"/>
              <w:right w:val="nil"/>
            </w:tcBorders>
          </w:tcPr>
          <w:p w14:paraId="07B3AF87" w14:textId="27E97594" w:rsidR="00E66BCE" w:rsidRPr="00D00B00" w:rsidRDefault="00E66BCE" w:rsidP="008167A4">
            <w:pPr>
              <w:rPr>
                <w:rFonts w:ascii="Verdana" w:hAnsi="Verdana"/>
                <w:b/>
                <w:bCs/>
              </w:rPr>
            </w:pPr>
            <w:r>
              <w:rPr>
                <w:rFonts w:ascii="Verdana" w:hAnsi="Verdana"/>
                <w:b/>
                <w:bCs/>
              </w:rPr>
              <w:t>.</w:t>
            </w:r>
          </w:p>
        </w:tc>
        <w:tc>
          <w:tcPr>
            <w:tcW w:w="8352" w:type="dxa"/>
            <w:tcBorders>
              <w:top w:val="nil"/>
              <w:left w:val="nil"/>
              <w:bottom w:val="nil"/>
              <w:right w:val="nil"/>
            </w:tcBorders>
          </w:tcPr>
          <w:p w14:paraId="6F00BF54" w14:textId="6817BF89" w:rsidR="00E66BCE" w:rsidRPr="00243BE4" w:rsidRDefault="00243BE4" w:rsidP="008167A4">
            <w:pPr>
              <w:rPr>
                <w:rFonts w:ascii="Verdana" w:hAnsi="Verdana"/>
                <w:i/>
                <w:iCs/>
              </w:rPr>
            </w:pPr>
            <w:r w:rsidRPr="00243BE4">
              <w:rPr>
                <w:rFonts w:ascii="Verdana" w:hAnsi="Verdana"/>
              </w:rPr>
              <w:t>“Talent Lab Online” had covered important personal and social issues throughout the closure period;</w:t>
            </w:r>
            <w:r>
              <w:rPr>
                <w:rFonts w:ascii="Verdana" w:hAnsi="Verdana"/>
              </w:rPr>
              <w:t xml:space="preserve"> </w:t>
            </w:r>
            <w:r>
              <w:rPr>
                <w:rFonts w:ascii="Verdana" w:hAnsi="Verdana"/>
                <w:i/>
                <w:iCs/>
              </w:rPr>
              <w:t>and</w:t>
            </w:r>
          </w:p>
          <w:p w14:paraId="13617D07" w14:textId="51601B36" w:rsidR="00243BE4" w:rsidRPr="00243BE4" w:rsidRDefault="00243BE4" w:rsidP="008167A4">
            <w:pPr>
              <w:rPr>
                <w:rFonts w:ascii="Verdana" w:hAnsi="Verdana"/>
              </w:rPr>
            </w:pPr>
          </w:p>
        </w:tc>
      </w:tr>
      <w:tr w:rsidR="00E66BCE" w:rsidRPr="00D00B00" w14:paraId="36D0B4F8" w14:textId="77777777" w:rsidTr="00876574">
        <w:tc>
          <w:tcPr>
            <w:tcW w:w="561" w:type="dxa"/>
            <w:tcBorders>
              <w:top w:val="nil"/>
              <w:left w:val="nil"/>
              <w:bottom w:val="nil"/>
              <w:right w:val="nil"/>
            </w:tcBorders>
          </w:tcPr>
          <w:p w14:paraId="6CBC9DDB" w14:textId="77777777" w:rsidR="00E66BCE" w:rsidRPr="00D00B00" w:rsidRDefault="00E66BCE" w:rsidP="008167A4">
            <w:pPr>
              <w:rPr>
                <w:rFonts w:ascii="Verdana" w:hAnsi="Verdana"/>
              </w:rPr>
            </w:pPr>
          </w:p>
        </w:tc>
        <w:tc>
          <w:tcPr>
            <w:tcW w:w="284" w:type="dxa"/>
            <w:tcBorders>
              <w:top w:val="nil"/>
              <w:left w:val="nil"/>
              <w:bottom w:val="nil"/>
              <w:right w:val="nil"/>
            </w:tcBorders>
          </w:tcPr>
          <w:p w14:paraId="1B00DF09" w14:textId="77777777" w:rsidR="00E66BCE" w:rsidRPr="00D00B00" w:rsidRDefault="00E66BCE" w:rsidP="008167A4">
            <w:pPr>
              <w:rPr>
                <w:rFonts w:ascii="Verdana" w:hAnsi="Verdana"/>
              </w:rPr>
            </w:pPr>
          </w:p>
        </w:tc>
        <w:tc>
          <w:tcPr>
            <w:tcW w:w="296" w:type="dxa"/>
            <w:tcBorders>
              <w:top w:val="nil"/>
              <w:left w:val="nil"/>
              <w:bottom w:val="nil"/>
              <w:right w:val="nil"/>
            </w:tcBorders>
          </w:tcPr>
          <w:p w14:paraId="0B791525" w14:textId="05046383" w:rsidR="00E66BCE" w:rsidRPr="00D00B00" w:rsidRDefault="00243BE4" w:rsidP="008167A4">
            <w:pPr>
              <w:rPr>
                <w:rFonts w:ascii="Verdana" w:hAnsi="Verdana"/>
                <w:b/>
                <w:bCs/>
              </w:rPr>
            </w:pPr>
            <w:r>
              <w:rPr>
                <w:rFonts w:ascii="Verdana" w:hAnsi="Verdana"/>
                <w:b/>
                <w:bCs/>
              </w:rPr>
              <w:t>.</w:t>
            </w:r>
          </w:p>
        </w:tc>
        <w:tc>
          <w:tcPr>
            <w:tcW w:w="8352" w:type="dxa"/>
            <w:tcBorders>
              <w:top w:val="nil"/>
              <w:left w:val="nil"/>
              <w:bottom w:val="nil"/>
              <w:right w:val="nil"/>
            </w:tcBorders>
          </w:tcPr>
          <w:p w14:paraId="3F2CDABF" w14:textId="77DC044B" w:rsidR="00E66BCE" w:rsidRPr="00243BE4" w:rsidRDefault="00243BE4" w:rsidP="008167A4">
            <w:pPr>
              <w:rPr>
                <w:rFonts w:ascii="Verdana" w:hAnsi="Verdana"/>
              </w:rPr>
            </w:pPr>
            <w:r w:rsidRPr="00243BE4">
              <w:rPr>
                <w:rFonts w:ascii="Verdana" w:hAnsi="Verdana" w:cs="Calibri"/>
              </w:rPr>
              <w:t xml:space="preserve">ESAFE online safety monitoring </w:t>
            </w:r>
            <w:r>
              <w:rPr>
                <w:rFonts w:ascii="Verdana" w:hAnsi="Verdana" w:cs="Calibri"/>
              </w:rPr>
              <w:t xml:space="preserve">had </w:t>
            </w:r>
            <w:r w:rsidRPr="00243BE4">
              <w:rPr>
                <w:rFonts w:ascii="Verdana" w:hAnsi="Verdana" w:cs="Calibri"/>
              </w:rPr>
              <w:t xml:space="preserve">remained in place during the closure period </w:t>
            </w:r>
            <w:r w:rsidR="004708D4">
              <w:rPr>
                <w:rFonts w:ascii="Verdana" w:hAnsi="Verdana" w:cs="Calibri"/>
              </w:rPr>
              <w:t>to enable</w:t>
            </w:r>
            <w:r w:rsidRPr="00243BE4">
              <w:rPr>
                <w:rFonts w:ascii="Verdana" w:hAnsi="Verdana" w:cs="Calibri"/>
              </w:rPr>
              <w:t xml:space="preserve"> loan devices to monitor student and staff activity, communicate safety</w:t>
            </w:r>
            <w:r w:rsidR="004708D4">
              <w:rPr>
                <w:rFonts w:ascii="Verdana" w:hAnsi="Verdana" w:cs="Calibri"/>
              </w:rPr>
              <w:t xml:space="preserve"> messages</w:t>
            </w:r>
            <w:r>
              <w:rPr>
                <w:rFonts w:ascii="Verdana" w:hAnsi="Verdana" w:cs="Calibri"/>
              </w:rPr>
              <w:t>,</w:t>
            </w:r>
            <w:r w:rsidRPr="00243BE4">
              <w:rPr>
                <w:rFonts w:ascii="Verdana" w:hAnsi="Verdana" w:cs="Calibri"/>
              </w:rPr>
              <w:t xml:space="preserve"> and identify students at risk of harm</w:t>
            </w:r>
            <w:r>
              <w:rPr>
                <w:rFonts w:ascii="Verdana" w:hAnsi="Verdana" w:cs="Calibri"/>
              </w:rPr>
              <w:t>.</w:t>
            </w:r>
          </w:p>
        </w:tc>
      </w:tr>
    </w:tbl>
    <w:p w14:paraId="07852EDD" w14:textId="1B637B53" w:rsidR="00201552" w:rsidRDefault="00201552"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243BE4" w:rsidRPr="003E1E80" w14:paraId="5ABB43AE" w14:textId="77777777" w:rsidTr="00876574">
        <w:tc>
          <w:tcPr>
            <w:tcW w:w="534" w:type="dxa"/>
          </w:tcPr>
          <w:p w14:paraId="3C902EDB" w14:textId="77777777" w:rsidR="00243BE4" w:rsidRPr="003E1E80" w:rsidRDefault="00243BE4" w:rsidP="00BA178E">
            <w:pPr>
              <w:rPr>
                <w:rFonts w:ascii="Verdana" w:hAnsi="Verdana"/>
              </w:rPr>
            </w:pPr>
          </w:p>
        </w:tc>
        <w:tc>
          <w:tcPr>
            <w:tcW w:w="312" w:type="dxa"/>
          </w:tcPr>
          <w:p w14:paraId="02625EDB" w14:textId="77777777" w:rsidR="00243BE4" w:rsidRPr="003E1E80" w:rsidRDefault="00243BE4" w:rsidP="00BA178E">
            <w:pPr>
              <w:rPr>
                <w:rFonts w:ascii="Verdana" w:hAnsi="Verdana"/>
                <w:b/>
              </w:rPr>
            </w:pPr>
            <w:r w:rsidRPr="003E1E80">
              <w:rPr>
                <w:rFonts w:ascii="Verdana" w:hAnsi="Verdana"/>
                <w:b/>
              </w:rPr>
              <w:t>.</w:t>
            </w:r>
          </w:p>
        </w:tc>
        <w:tc>
          <w:tcPr>
            <w:tcW w:w="8618" w:type="dxa"/>
          </w:tcPr>
          <w:p w14:paraId="12DD9C20" w14:textId="2AEB50A1" w:rsidR="00243BE4" w:rsidRPr="003E1E80" w:rsidRDefault="00243BE4" w:rsidP="00BA178E">
            <w:pPr>
              <w:rPr>
                <w:rFonts w:ascii="Verdana" w:hAnsi="Verdana"/>
              </w:rPr>
            </w:pPr>
            <w:r w:rsidRPr="003E1E80">
              <w:rPr>
                <w:rFonts w:ascii="Verdana" w:hAnsi="Verdana"/>
              </w:rPr>
              <w:t>since the College reopening in September, the following specific measures had been taken:</w:t>
            </w:r>
          </w:p>
        </w:tc>
      </w:tr>
    </w:tbl>
    <w:p w14:paraId="527EEAFB" w14:textId="6A097221" w:rsidR="00201552" w:rsidRPr="003E1E80" w:rsidRDefault="00201552" w:rsidP="00626F4B">
      <w:pPr>
        <w:rPr>
          <w:rFonts w:ascii="Verdana" w:hAnsi="Verdana"/>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352"/>
      </w:tblGrid>
      <w:tr w:rsidR="003E1E80" w:rsidRPr="003E1E80" w14:paraId="35BF569F" w14:textId="77777777" w:rsidTr="00876574">
        <w:tc>
          <w:tcPr>
            <w:tcW w:w="561" w:type="dxa"/>
          </w:tcPr>
          <w:p w14:paraId="2D161710" w14:textId="77777777" w:rsidR="003E1E80" w:rsidRPr="003E1E80" w:rsidRDefault="003E1E80" w:rsidP="00BA178E">
            <w:pPr>
              <w:rPr>
                <w:rFonts w:ascii="Verdana" w:hAnsi="Verdana"/>
              </w:rPr>
            </w:pPr>
          </w:p>
        </w:tc>
        <w:tc>
          <w:tcPr>
            <w:tcW w:w="284" w:type="dxa"/>
          </w:tcPr>
          <w:p w14:paraId="437F78DC" w14:textId="77777777" w:rsidR="003E1E80" w:rsidRPr="003E1E80" w:rsidRDefault="003E1E80" w:rsidP="00BA178E">
            <w:pPr>
              <w:rPr>
                <w:rFonts w:ascii="Verdana" w:hAnsi="Verdana"/>
              </w:rPr>
            </w:pPr>
          </w:p>
        </w:tc>
        <w:tc>
          <w:tcPr>
            <w:tcW w:w="296" w:type="dxa"/>
          </w:tcPr>
          <w:p w14:paraId="0C4C64AB" w14:textId="77777777" w:rsidR="003E1E80" w:rsidRPr="003E1E80" w:rsidRDefault="003E1E80" w:rsidP="00BA178E">
            <w:pPr>
              <w:rPr>
                <w:rFonts w:ascii="Verdana" w:hAnsi="Verdana"/>
                <w:b/>
                <w:bCs/>
              </w:rPr>
            </w:pPr>
            <w:r w:rsidRPr="003E1E80">
              <w:rPr>
                <w:rFonts w:ascii="Verdana" w:hAnsi="Verdana"/>
                <w:b/>
                <w:bCs/>
              </w:rPr>
              <w:t>.</w:t>
            </w:r>
          </w:p>
        </w:tc>
        <w:tc>
          <w:tcPr>
            <w:tcW w:w="8352" w:type="dxa"/>
          </w:tcPr>
          <w:p w14:paraId="6D256657" w14:textId="053356EA" w:rsidR="003E1E80" w:rsidRDefault="003E1E80" w:rsidP="00BA178E">
            <w:pPr>
              <w:rPr>
                <w:rFonts w:ascii="Verdana" w:hAnsi="Verdana"/>
              </w:rPr>
            </w:pPr>
            <w:r w:rsidRPr="003E1E80">
              <w:rPr>
                <w:rFonts w:ascii="Verdana" w:hAnsi="Verdana"/>
              </w:rPr>
              <w:t>improvement to the College’s centralised system for Covid-19 monitoring</w:t>
            </w:r>
            <w:r>
              <w:rPr>
                <w:rFonts w:ascii="Verdana" w:hAnsi="Verdana"/>
              </w:rPr>
              <w:t xml:space="preserve"> - </w:t>
            </w:r>
            <w:r w:rsidRPr="003E1E80">
              <w:rPr>
                <w:rFonts w:ascii="Verdana" w:hAnsi="Verdana"/>
              </w:rPr>
              <w:t>4 cases of Covid-19</w:t>
            </w:r>
            <w:r>
              <w:rPr>
                <w:rFonts w:ascii="Verdana" w:hAnsi="Verdana"/>
              </w:rPr>
              <w:t xml:space="preserve"> have been confirmed</w:t>
            </w:r>
            <w:r w:rsidRPr="003E1E80">
              <w:rPr>
                <w:rFonts w:ascii="Verdana" w:hAnsi="Verdana"/>
              </w:rPr>
              <w:t>, 3 of which required self-isolation of other students</w:t>
            </w:r>
            <w:r>
              <w:rPr>
                <w:rFonts w:ascii="Verdana" w:hAnsi="Verdana"/>
              </w:rPr>
              <w:t>;</w:t>
            </w:r>
          </w:p>
          <w:p w14:paraId="54B16D6A" w14:textId="370993BA" w:rsidR="003E1E80" w:rsidRPr="003E1E80" w:rsidRDefault="003E1E80" w:rsidP="00BA178E">
            <w:pPr>
              <w:rPr>
                <w:rFonts w:ascii="Verdana" w:hAnsi="Verdana"/>
              </w:rPr>
            </w:pPr>
          </w:p>
        </w:tc>
      </w:tr>
      <w:tr w:rsidR="003E1E80" w:rsidRPr="00243BE4" w14:paraId="50787090" w14:textId="77777777" w:rsidTr="00876574">
        <w:tc>
          <w:tcPr>
            <w:tcW w:w="561" w:type="dxa"/>
          </w:tcPr>
          <w:p w14:paraId="086AE6CF" w14:textId="77777777" w:rsidR="003E1E80" w:rsidRPr="00D00B00" w:rsidRDefault="003E1E80" w:rsidP="00BA178E">
            <w:pPr>
              <w:rPr>
                <w:rFonts w:ascii="Verdana" w:hAnsi="Verdana"/>
              </w:rPr>
            </w:pPr>
          </w:p>
        </w:tc>
        <w:tc>
          <w:tcPr>
            <w:tcW w:w="284" w:type="dxa"/>
          </w:tcPr>
          <w:p w14:paraId="08254CE6" w14:textId="77777777" w:rsidR="003E1E80" w:rsidRPr="00D00B00" w:rsidRDefault="003E1E80" w:rsidP="00BA178E">
            <w:pPr>
              <w:rPr>
                <w:rFonts w:ascii="Verdana" w:hAnsi="Verdana"/>
              </w:rPr>
            </w:pPr>
          </w:p>
        </w:tc>
        <w:tc>
          <w:tcPr>
            <w:tcW w:w="296" w:type="dxa"/>
          </w:tcPr>
          <w:p w14:paraId="1A03C1CA" w14:textId="77777777" w:rsidR="003E1E80" w:rsidRPr="00D00B00" w:rsidRDefault="003E1E80" w:rsidP="00BA178E">
            <w:pPr>
              <w:rPr>
                <w:rFonts w:ascii="Verdana" w:hAnsi="Verdana"/>
                <w:b/>
                <w:bCs/>
              </w:rPr>
            </w:pPr>
            <w:r>
              <w:rPr>
                <w:rFonts w:ascii="Verdana" w:hAnsi="Verdana"/>
                <w:b/>
                <w:bCs/>
              </w:rPr>
              <w:t>.</w:t>
            </w:r>
          </w:p>
        </w:tc>
        <w:tc>
          <w:tcPr>
            <w:tcW w:w="8352" w:type="dxa"/>
          </w:tcPr>
          <w:p w14:paraId="60871BAB" w14:textId="7D490821" w:rsidR="003E1E80" w:rsidRDefault="00770084" w:rsidP="00BA178E">
            <w:pPr>
              <w:rPr>
                <w:rFonts w:ascii="Verdana" w:hAnsi="Verdana"/>
              </w:rPr>
            </w:pPr>
            <w:r>
              <w:rPr>
                <w:rFonts w:ascii="Verdana" w:hAnsi="Verdana"/>
              </w:rPr>
              <w:t xml:space="preserve">close adherence to </w:t>
            </w:r>
            <w:r w:rsidR="003E1E80" w:rsidRPr="003E1E80">
              <w:rPr>
                <w:rFonts w:ascii="Verdana" w:hAnsi="Verdana"/>
              </w:rPr>
              <w:t>P</w:t>
            </w:r>
            <w:r>
              <w:rPr>
                <w:rFonts w:ascii="Verdana" w:hAnsi="Verdana"/>
              </w:rPr>
              <w:t xml:space="preserve">ublic </w:t>
            </w:r>
            <w:r w:rsidR="003E1E80" w:rsidRPr="003E1E80">
              <w:rPr>
                <w:rFonts w:ascii="Verdana" w:hAnsi="Verdana"/>
              </w:rPr>
              <w:t>H</w:t>
            </w:r>
            <w:r>
              <w:rPr>
                <w:rFonts w:ascii="Verdana" w:hAnsi="Verdana"/>
              </w:rPr>
              <w:t xml:space="preserve">ealth </w:t>
            </w:r>
            <w:r w:rsidR="003E1E80" w:rsidRPr="003E1E80">
              <w:rPr>
                <w:rFonts w:ascii="Verdana" w:hAnsi="Verdana"/>
              </w:rPr>
              <w:t>E</w:t>
            </w:r>
            <w:r>
              <w:rPr>
                <w:rFonts w:ascii="Verdana" w:hAnsi="Verdana"/>
              </w:rPr>
              <w:t>ngland</w:t>
            </w:r>
            <w:r w:rsidR="003E1E80" w:rsidRPr="003E1E80">
              <w:rPr>
                <w:rFonts w:ascii="Verdana" w:hAnsi="Verdana"/>
              </w:rPr>
              <w:t xml:space="preserve"> guidance</w:t>
            </w:r>
            <w:r>
              <w:rPr>
                <w:rFonts w:ascii="Verdana" w:hAnsi="Verdana"/>
              </w:rPr>
              <w:t xml:space="preserve">, with </w:t>
            </w:r>
            <w:r w:rsidR="003E1E80" w:rsidRPr="003E1E80">
              <w:rPr>
                <w:rFonts w:ascii="Verdana" w:hAnsi="Verdana"/>
              </w:rPr>
              <w:t>no evidence</w:t>
            </w:r>
            <w:r w:rsidR="004708D4">
              <w:rPr>
                <w:rFonts w:ascii="Verdana" w:hAnsi="Verdana"/>
              </w:rPr>
              <w:t xml:space="preserve"> having been found</w:t>
            </w:r>
            <w:r w:rsidR="003E1E80" w:rsidRPr="003E1E80">
              <w:rPr>
                <w:rFonts w:ascii="Verdana" w:hAnsi="Verdana"/>
              </w:rPr>
              <w:t xml:space="preserve"> of </w:t>
            </w:r>
            <w:r>
              <w:rPr>
                <w:rFonts w:ascii="Verdana" w:hAnsi="Verdana"/>
              </w:rPr>
              <w:t>intra-</w:t>
            </w:r>
            <w:r w:rsidR="003E1E80" w:rsidRPr="003E1E80">
              <w:rPr>
                <w:rFonts w:ascii="Verdana" w:hAnsi="Verdana"/>
              </w:rPr>
              <w:t xml:space="preserve">college transmission </w:t>
            </w:r>
            <w:r>
              <w:rPr>
                <w:rFonts w:ascii="Verdana" w:hAnsi="Verdana"/>
              </w:rPr>
              <w:t>of</w:t>
            </w:r>
            <w:r w:rsidR="003E1E80">
              <w:rPr>
                <w:rFonts w:ascii="Verdana" w:hAnsi="Verdana"/>
              </w:rPr>
              <w:t xml:space="preserve"> </w:t>
            </w:r>
            <w:r w:rsidR="0088276C">
              <w:rPr>
                <w:rFonts w:ascii="Verdana" w:hAnsi="Verdana"/>
              </w:rPr>
              <w:t>the virus</w:t>
            </w:r>
            <w:r w:rsidR="003E1E80">
              <w:rPr>
                <w:rFonts w:ascii="Verdana" w:hAnsi="Verdana"/>
              </w:rPr>
              <w:t>;</w:t>
            </w:r>
          </w:p>
          <w:p w14:paraId="0C73C5D0" w14:textId="4763F3A7" w:rsidR="003E1E80" w:rsidRPr="00243BE4" w:rsidRDefault="003E1E80" w:rsidP="00BA178E">
            <w:pPr>
              <w:rPr>
                <w:rFonts w:ascii="Verdana" w:hAnsi="Verdana"/>
              </w:rPr>
            </w:pPr>
          </w:p>
        </w:tc>
      </w:tr>
      <w:tr w:rsidR="003E1E80" w:rsidRPr="00243BE4" w14:paraId="6D615A60" w14:textId="77777777" w:rsidTr="00876574">
        <w:tc>
          <w:tcPr>
            <w:tcW w:w="561" w:type="dxa"/>
          </w:tcPr>
          <w:p w14:paraId="37832066" w14:textId="77777777" w:rsidR="003E1E80" w:rsidRPr="00D00B00" w:rsidRDefault="003E1E80" w:rsidP="00BA178E">
            <w:pPr>
              <w:rPr>
                <w:rFonts w:ascii="Verdana" w:hAnsi="Verdana"/>
              </w:rPr>
            </w:pPr>
          </w:p>
        </w:tc>
        <w:tc>
          <w:tcPr>
            <w:tcW w:w="284" w:type="dxa"/>
          </w:tcPr>
          <w:p w14:paraId="3C7ECBF6" w14:textId="77777777" w:rsidR="003E1E80" w:rsidRPr="00D00B00" w:rsidRDefault="003E1E80" w:rsidP="00BA178E">
            <w:pPr>
              <w:rPr>
                <w:rFonts w:ascii="Verdana" w:hAnsi="Verdana"/>
              </w:rPr>
            </w:pPr>
          </w:p>
        </w:tc>
        <w:tc>
          <w:tcPr>
            <w:tcW w:w="296" w:type="dxa"/>
          </w:tcPr>
          <w:p w14:paraId="67636D36" w14:textId="77777777" w:rsidR="003E1E80" w:rsidRPr="00D00B00" w:rsidRDefault="003E1E80" w:rsidP="00BA178E">
            <w:pPr>
              <w:rPr>
                <w:rFonts w:ascii="Verdana" w:hAnsi="Verdana"/>
                <w:b/>
                <w:bCs/>
              </w:rPr>
            </w:pPr>
            <w:r>
              <w:rPr>
                <w:rFonts w:ascii="Verdana" w:hAnsi="Verdana"/>
                <w:b/>
                <w:bCs/>
              </w:rPr>
              <w:t>.</w:t>
            </w:r>
          </w:p>
        </w:tc>
        <w:tc>
          <w:tcPr>
            <w:tcW w:w="8352" w:type="dxa"/>
          </w:tcPr>
          <w:p w14:paraId="7458512E" w14:textId="4A8E9255" w:rsidR="003E1E80" w:rsidRPr="005106CE" w:rsidRDefault="00770084" w:rsidP="00BA178E">
            <w:pPr>
              <w:rPr>
                <w:rFonts w:ascii="Verdana" w:hAnsi="Verdana"/>
              </w:rPr>
            </w:pPr>
            <w:r>
              <w:rPr>
                <w:rFonts w:ascii="Verdana" w:hAnsi="Verdana"/>
              </w:rPr>
              <w:t xml:space="preserve">close monitoring of </w:t>
            </w:r>
            <w:r w:rsidR="003E1E80" w:rsidRPr="005106CE">
              <w:rPr>
                <w:rFonts w:ascii="Verdana" w:hAnsi="Verdana"/>
              </w:rPr>
              <w:t>the level of overall absence and sickness</w:t>
            </w:r>
            <w:r w:rsidR="005B1C47" w:rsidRPr="005106CE">
              <w:rPr>
                <w:rFonts w:ascii="Verdana" w:hAnsi="Verdana"/>
              </w:rPr>
              <w:t xml:space="preserve">, </w:t>
            </w:r>
            <w:r>
              <w:rPr>
                <w:rFonts w:ascii="Verdana" w:hAnsi="Verdana"/>
              </w:rPr>
              <w:t>which</w:t>
            </w:r>
            <w:r w:rsidR="005B1C47" w:rsidRPr="005106CE">
              <w:rPr>
                <w:rFonts w:ascii="Verdana" w:hAnsi="Verdana"/>
              </w:rPr>
              <w:t xml:space="preserve"> is </w:t>
            </w:r>
            <w:r w:rsidR="003E1E80" w:rsidRPr="005106CE">
              <w:rPr>
                <w:rFonts w:ascii="Verdana" w:hAnsi="Verdana"/>
              </w:rPr>
              <w:t>close to normal compared to previous academic years, though the pandemic has had some effect on attendance, with 177 students</w:t>
            </w:r>
            <w:r w:rsidR="005B1C47" w:rsidRPr="005106CE">
              <w:rPr>
                <w:rFonts w:ascii="Verdana" w:hAnsi="Verdana"/>
              </w:rPr>
              <w:t xml:space="preserve"> having been</w:t>
            </w:r>
            <w:r w:rsidR="003E1E80" w:rsidRPr="005106CE">
              <w:rPr>
                <w:rFonts w:ascii="Verdana" w:hAnsi="Verdana"/>
              </w:rPr>
              <w:t xml:space="preserve"> absent for Covid-19 related reasons </w:t>
            </w:r>
            <w:r w:rsidR="005B1C47" w:rsidRPr="005106CE">
              <w:rPr>
                <w:rFonts w:ascii="Verdana" w:hAnsi="Verdana"/>
              </w:rPr>
              <w:t>(</w:t>
            </w:r>
            <w:r w:rsidR="0088276C">
              <w:rPr>
                <w:rFonts w:ascii="Verdana" w:hAnsi="Verdana"/>
              </w:rPr>
              <w:t xml:space="preserve">i.e. </w:t>
            </w:r>
            <w:r w:rsidR="003E1E80" w:rsidRPr="005106CE">
              <w:rPr>
                <w:rFonts w:ascii="Verdana" w:hAnsi="Verdana"/>
              </w:rPr>
              <w:t>quarantine or self-isolation</w:t>
            </w:r>
            <w:r w:rsidR="005B1C47" w:rsidRPr="005106CE">
              <w:rPr>
                <w:rFonts w:ascii="Verdana" w:hAnsi="Verdana"/>
              </w:rPr>
              <w:t>);</w:t>
            </w:r>
          </w:p>
          <w:p w14:paraId="7ABADA9B" w14:textId="19DAA77E" w:rsidR="005B1C47" w:rsidRPr="005106CE" w:rsidRDefault="005B1C47" w:rsidP="00BA178E">
            <w:pPr>
              <w:rPr>
                <w:rFonts w:ascii="Verdana" w:hAnsi="Verdana"/>
              </w:rPr>
            </w:pPr>
          </w:p>
        </w:tc>
      </w:tr>
      <w:tr w:rsidR="003E1E80" w:rsidRPr="00243BE4" w14:paraId="3BFC65CE" w14:textId="77777777" w:rsidTr="00876574">
        <w:tc>
          <w:tcPr>
            <w:tcW w:w="561" w:type="dxa"/>
          </w:tcPr>
          <w:p w14:paraId="4AD50EA2" w14:textId="77777777" w:rsidR="003E1E80" w:rsidRPr="00D00B00" w:rsidRDefault="003E1E80" w:rsidP="00BA178E">
            <w:pPr>
              <w:rPr>
                <w:rFonts w:ascii="Verdana" w:hAnsi="Verdana"/>
              </w:rPr>
            </w:pPr>
          </w:p>
        </w:tc>
        <w:tc>
          <w:tcPr>
            <w:tcW w:w="284" w:type="dxa"/>
          </w:tcPr>
          <w:p w14:paraId="6A9F3D22" w14:textId="77777777" w:rsidR="003E1E80" w:rsidRPr="00D00B00" w:rsidRDefault="003E1E80" w:rsidP="00BA178E">
            <w:pPr>
              <w:rPr>
                <w:rFonts w:ascii="Verdana" w:hAnsi="Verdana"/>
              </w:rPr>
            </w:pPr>
          </w:p>
        </w:tc>
        <w:tc>
          <w:tcPr>
            <w:tcW w:w="296" w:type="dxa"/>
          </w:tcPr>
          <w:p w14:paraId="79F92AD9" w14:textId="77777777" w:rsidR="003E1E80" w:rsidRPr="00D00B00" w:rsidRDefault="003E1E80" w:rsidP="00BA178E">
            <w:pPr>
              <w:rPr>
                <w:rFonts w:ascii="Verdana" w:hAnsi="Verdana"/>
                <w:b/>
                <w:bCs/>
              </w:rPr>
            </w:pPr>
            <w:r>
              <w:rPr>
                <w:rFonts w:ascii="Verdana" w:hAnsi="Verdana"/>
                <w:b/>
                <w:bCs/>
              </w:rPr>
              <w:t>.</w:t>
            </w:r>
          </w:p>
        </w:tc>
        <w:tc>
          <w:tcPr>
            <w:tcW w:w="8352" w:type="dxa"/>
          </w:tcPr>
          <w:p w14:paraId="314488D6" w14:textId="5B9EF0CC" w:rsidR="003E1E80" w:rsidRPr="005106CE" w:rsidRDefault="005106CE" w:rsidP="00BA178E">
            <w:pPr>
              <w:rPr>
                <w:rFonts w:ascii="Verdana" w:hAnsi="Verdana"/>
              </w:rPr>
            </w:pPr>
            <w:r w:rsidRPr="005106CE">
              <w:rPr>
                <w:rFonts w:ascii="Verdana" w:hAnsi="Verdana"/>
              </w:rPr>
              <w:t xml:space="preserve">expansion of Personal Mentoring and Counselling services </w:t>
            </w:r>
            <w:r w:rsidR="00770084">
              <w:rPr>
                <w:rFonts w:ascii="Verdana" w:hAnsi="Verdana"/>
              </w:rPr>
              <w:t>to</w:t>
            </w:r>
            <w:r w:rsidRPr="005106CE">
              <w:rPr>
                <w:rFonts w:ascii="Verdana" w:hAnsi="Verdana"/>
              </w:rPr>
              <w:t xml:space="preserve"> improve the College’s ability to have good quality conversations with students, </w:t>
            </w:r>
            <w:r w:rsidR="0088276C">
              <w:rPr>
                <w:rFonts w:ascii="Verdana" w:hAnsi="Verdana"/>
              </w:rPr>
              <w:t xml:space="preserve">since </w:t>
            </w:r>
            <w:r w:rsidRPr="005106CE">
              <w:rPr>
                <w:rFonts w:ascii="Verdana" w:hAnsi="Verdana"/>
              </w:rPr>
              <w:t>mentors have a reduced caseload compared to previous years;</w:t>
            </w:r>
          </w:p>
          <w:p w14:paraId="49898692" w14:textId="411DDA17" w:rsidR="005106CE" w:rsidRPr="005106CE" w:rsidRDefault="005106CE" w:rsidP="00BA178E">
            <w:pPr>
              <w:rPr>
                <w:rFonts w:ascii="Verdana" w:hAnsi="Verdana"/>
              </w:rPr>
            </w:pPr>
          </w:p>
        </w:tc>
      </w:tr>
      <w:tr w:rsidR="003E1E80" w:rsidRPr="00243BE4" w14:paraId="149B9225" w14:textId="77777777" w:rsidTr="00876574">
        <w:tc>
          <w:tcPr>
            <w:tcW w:w="561" w:type="dxa"/>
          </w:tcPr>
          <w:p w14:paraId="5CDA76B6" w14:textId="77777777" w:rsidR="003E1E80" w:rsidRPr="00D00B00" w:rsidRDefault="003E1E80" w:rsidP="00BA178E">
            <w:pPr>
              <w:rPr>
                <w:rFonts w:ascii="Verdana" w:hAnsi="Verdana"/>
              </w:rPr>
            </w:pPr>
          </w:p>
        </w:tc>
        <w:tc>
          <w:tcPr>
            <w:tcW w:w="284" w:type="dxa"/>
          </w:tcPr>
          <w:p w14:paraId="44090D04" w14:textId="77777777" w:rsidR="003E1E80" w:rsidRPr="00D00B00" w:rsidRDefault="003E1E80" w:rsidP="00BA178E">
            <w:pPr>
              <w:rPr>
                <w:rFonts w:ascii="Verdana" w:hAnsi="Verdana"/>
              </w:rPr>
            </w:pPr>
          </w:p>
        </w:tc>
        <w:tc>
          <w:tcPr>
            <w:tcW w:w="296" w:type="dxa"/>
          </w:tcPr>
          <w:p w14:paraId="2A4537AF" w14:textId="77777777" w:rsidR="003E1E80" w:rsidRPr="00D00B00" w:rsidRDefault="003E1E80" w:rsidP="00BA178E">
            <w:pPr>
              <w:rPr>
                <w:rFonts w:ascii="Verdana" w:hAnsi="Verdana"/>
                <w:b/>
                <w:bCs/>
              </w:rPr>
            </w:pPr>
            <w:r>
              <w:rPr>
                <w:rFonts w:ascii="Verdana" w:hAnsi="Verdana"/>
                <w:b/>
                <w:bCs/>
              </w:rPr>
              <w:t>.</w:t>
            </w:r>
          </w:p>
        </w:tc>
        <w:tc>
          <w:tcPr>
            <w:tcW w:w="8352" w:type="dxa"/>
          </w:tcPr>
          <w:p w14:paraId="08C39B78" w14:textId="4392E2BF" w:rsidR="003E1E80" w:rsidRPr="005106CE" w:rsidRDefault="00770084" w:rsidP="00BA178E">
            <w:pPr>
              <w:rPr>
                <w:rFonts w:ascii="Verdana" w:hAnsi="Verdana"/>
              </w:rPr>
            </w:pPr>
            <w:r w:rsidRPr="005106CE">
              <w:rPr>
                <w:rFonts w:ascii="Verdana" w:hAnsi="Verdana"/>
              </w:rPr>
              <w:t>provi</w:t>
            </w:r>
            <w:r>
              <w:rPr>
                <w:rFonts w:ascii="Verdana" w:hAnsi="Verdana"/>
              </w:rPr>
              <w:t>sion of</w:t>
            </w:r>
            <w:r w:rsidRPr="005106CE">
              <w:rPr>
                <w:rFonts w:ascii="Verdana" w:hAnsi="Verdana"/>
              </w:rPr>
              <w:t xml:space="preserve"> in-depth transition support and structure to new students </w:t>
            </w:r>
            <w:r>
              <w:rPr>
                <w:rFonts w:ascii="Verdana" w:hAnsi="Verdana"/>
              </w:rPr>
              <w:t xml:space="preserve">who </w:t>
            </w:r>
            <w:r w:rsidR="005106CE" w:rsidRPr="005106CE">
              <w:rPr>
                <w:rFonts w:ascii="Verdana" w:hAnsi="Verdana"/>
              </w:rPr>
              <w:t>ha</w:t>
            </w:r>
            <w:r>
              <w:rPr>
                <w:rFonts w:ascii="Verdana" w:hAnsi="Verdana"/>
              </w:rPr>
              <w:t>ve</w:t>
            </w:r>
            <w:r w:rsidR="005106CE" w:rsidRPr="005106CE">
              <w:rPr>
                <w:rFonts w:ascii="Verdana" w:hAnsi="Verdana"/>
              </w:rPr>
              <w:t xml:space="preserve"> fac</w:t>
            </w:r>
            <w:r>
              <w:rPr>
                <w:rFonts w:ascii="Verdana" w:hAnsi="Verdana"/>
              </w:rPr>
              <w:t>ed</w:t>
            </w:r>
            <w:r w:rsidR="005106CE" w:rsidRPr="005106CE">
              <w:rPr>
                <w:rFonts w:ascii="Verdana" w:hAnsi="Verdana"/>
              </w:rPr>
              <w:t xml:space="preserve"> particular challenges </w:t>
            </w:r>
            <w:r>
              <w:rPr>
                <w:rFonts w:ascii="Verdana" w:hAnsi="Verdana"/>
              </w:rPr>
              <w:t xml:space="preserve">to </w:t>
            </w:r>
            <w:r w:rsidR="005106CE" w:rsidRPr="005106CE">
              <w:rPr>
                <w:rFonts w:ascii="Verdana" w:hAnsi="Verdana"/>
              </w:rPr>
              <w:t>engaging in education – such as having been previously educated in Pupil Referral Units;</w:t>
            </w:r>
          </w:p>
          <w:p w14:paraId="3C75F743" w14:textId="5124B86A" w:rsidR="005106CE" w:rsidRPr="005106CE" w:rsidRDefault="005106CE" w:rsidP="00BA178E">
            <w:pPr>
              <w:rPr>
                <w:rFonts w:ascii="Verdana" w:hAnsi="Verdana"/>
              </w:rPr>
            </w:pPr>
          </w:p>
        </w:tc>
      </w:tr>
      <w:tr w:rsidR="003E1E80" w:rsidRPr="00243BE4" w14:paraId="5369A53F" w14:textId="77777777" w:rsidTr="00876574">
        <w:tc>
          <w:tcPr>
            <w:tcW w:w="561" w:type="dxa"/>
          </w:tcPr>
          <w:p w14:paraId="4A9CF03E" w14:textId="77777777" w:rsidR="003E1E80" w:rsidRPr="00D00B00" w:rsidRDefault="003E1E80" w:rsidP="00BA178E">
            <w:pPr>
              <w:rPr>
                <w:rFonts w:ascii="Verdana" w:hAnsi="Verdana"/>
              </w:rPr>
            </w:pPr>
          </w:p>
        </w:tc>
        <w:tc>
          <w:tcPr>
            <w:tcW w:w="284" w:type="dxa"/>
          </w:tcPr>
          <w:p w14:paraId="01B94A54" w14:textId="77777777" w:rsidR="003E1E80" w:rsidRPr="00D00B00" w:rsidRDefault="003E1E80" w:rsidP="00BA178E">
            <w:pPr>
              <w:rPr>
                <w:rFonts w:ascii="Verdana" w:hAnsi="Verdana"/>
              </w:rPr>
            </w:pPr>
          </w:p>
        </w:tc>
        <w:tc>
          <w:tcPr>
            <w:tcW w:w="296" w:type="dxa"/>
          </w:tcPr>
          <w:p w14:paraId="3C6516CA" w14:textId="33B5A0DC" w:rsidR="003E1E80" w:rsidRDefault="003E1E80" w:rsidP="00BA178E">
            <w:pPr>
              <w:rPr>
                <w:rFonts w:ascii="Verdana" w:hAnsi="Verdana"/>
                <w:b/>
                <w:bCs/>
              </w:rPr>
            </w:pPr>
            <w:r>
              <w:rPr>
                <w:rFonts w:ascii="Verdana" w:hAnsi="Verdana"/>
                <w:b/>
                <w:bCs/>
              </w:rPr>
              <w:t>.</w:t>
            </w:r>
          </w:p>
        </w:tc>
        <w:tc>
          <w:tcPr>
            <w:tcW w:w="8352" w:type="dxa"/>
          </w:tcPr>
          <w:p w14:paraId="1D7FA767" w14:textId="1763EECC" w:rsidR="005106CE" w:rsidRPr="005106CE" w:rsidRDefault="005106CE" w:rsidP="00BA178E">
            <w:pPr>
              <w:rPr>
                <w:rFonts w:ascii="Verdana" w:hAnsi="Verdana"/>
              </w:rPr>
            </w:pPr>
            <w:r w:rsidRPr="005106CE">
              <w:rPr>
                <w:rFonts w:ascii="Verdana" w:hAnsi="Verdana"/>
              </w:rPr>
              <w:t xml:space="preserve">an induction programme </w:t>
            </w:r>
            <w:r w:rsidR="00770084">
              <w:rPr>
                <w:rFonts w:ascii="Verdana" w:hAnsi="Verdana"/>
              </w:rPr>
              <w:t>featuring</w:t>
            </w:r>
            <w:r w:rsidRPr="005106CE">
              <w:rPr>
                <w:rFonts w:ascii="Verdana" w:hAnsi="Verdana"/>
              </w:rPr>
              <w:t xml:space="preserve"> online videos and classroom workshops including Safeguarding and Covid-19 safety, followed up </w:t>
            </w:r>
            <w:r w:rsidR="0088276C">
              <w:rPr>
                <w:rFonts w:ascii="Verdana" w:hAnsi="Verdana"/>
              </w:rPr>
              <w:t>by</w:t>
            </w:r>
            <w:r w:rsidRPr="005106CE">
              <w:rPr>
                <w:rFonts w:ascii="Verdana" w:hAnsi="Verdana"/>
              </w:rPr>
              <w:t xml:space="preserve"> regular ‘Loom’ videos shown to students in the classroom to reinforce key Safeguarding messages, as well as holding classroom discussions to focus on personal resilience </w:t>
            </w:r>
            <w:r w:rsidR="0088276C">
              <w:rPr>
                <w:rFonts w:ascii="Verdana" w:hAnsi="Verdana"/>
              </w:rPr>
              <w:t>during</w:t>
            </w:r>
            <w:r w:rsidRPr="005106CE">
              <w:rPr>
                <w:rFonts w:ascii="Verdana" w:hAnsi="Verdana"/>
              </w:rPr>
              <w:t xml:space="preserve"> the pandemic;</w:t>
            </w:r>
          </w:p>
          <w:p w14:paraId="0D28058D" w14:textId="0BD24A78" w:rsidR="003E1E80" w:rsidRPr="005106CE" w:rsidRDefault="005106CE" w:rsidP="00BA178E">
            <w:pPr>
              <w:rPr>
                <w:rFonts w:ascii="Verdana" w:hAnsi="Verdana"/>
              </w:rPr>
            </w:pPr>
            <w:r w:rsidRPr="005106CE">
              <w:rPr>
                <w:rFonts w:ascii="Verdana" w:hAnsi="Verdana"/>
              </w:rPr>
              <w:t xml:space="preserve"> </w:t>
            </w:r>
          </w:p>
        </w:tc>
      </w:tr>
      <w:tr w:rsidR="003E1E80" w:rsidRPr="00243BE4" w14:paraId="0C1E3E49" w14:textId="77777777" w:rsidTr="00876574">
        <w:tc>
          <w:tcPr>
            <w:tcW w:w="561" w:type="dxa"/>
          </w:tcPr>
          <w:p w14:paraId="16F5567A" w14:textId="77777777" w:rsidR="003E1E80" w:rsidRPr="00D00B00" w:rsidRDefault="003E1E80" w:rsidP="00BA178E">
            <w:pPr>
              <w:rPr>
                <w:rFonts w:ascii="Verdana" w:hAnsi="Verdana"/>
              </w:rPr>
            </w:pPr>
          </w:p>
        </w:tc>
        <w:tc>
          <w:tcPr>
            <w:tcW w:w="284" w:type="dxa"/>
          </w:tcPr>
          <w:p w14:paraId="5D035212" w14:textId="77777777" w:rsidR="003E1E80" w:rsidRPr="00D00B00" w:rsidRDefault="003E1E80" w:rsidP="00BA178E">
            <w:pPr>
              <w:rPr>
                <w:rFonts w:ascii="Verdana" w:hAnsi="Verdana"/>
              </w:rPr>
            </w:pPr>
          </w:p>
        </w:tc>
        <w:tc>
          <w:tcPr>
            <w:tcW w:w="296" w:type="dxa"/>
          </w:tcPr>
          <w:p w14:paraId="63706EE1" w14:textId="59E8D9EF" w:rsidR="003E1E80" w:rsidRDefault="003E1E80" w:rsidP="00BA178E">
            <w:pPr>
              <w:rPr>
                <w:rFonts w:ascii="Verdana" w:hAnsi="Verdana"/>
                <w:b/>
                <w:bCs/>
              </w:rPr>
            </w:pPr>
            <w:r>
              <w:rPr>
                <w:rFonts w:ascii="Verdana" w:hAnsi="Verdana"/>
                <w:b/>
                <w:bCs/>
              </w:rPr>
              <w:t>.</w:t>
            </w:r>
          </w:p>
        </w:tc>
        <w:tc>
          <w:tcPr>
            <w:tcW w:w="8352" w:type="dxa"/>
          </w:tcPr>
          <w:p w14:paraId="17086351" w14:textId="40707594" w:rsidR="003E1E80" w:rsidRPr="005106CE" w:rsidRDefault="00770084" w:rsidP="00BA178E">
            <w:pPr>
              <w:rPr>
                <w:rFonts w:ascii="Verdana" w:hAnsi="Verdana" w:cstheme="minorHAnsi"/>
              </w:rPr>
            </w:pPr>
            <w:r w:rsidRPr="005106CE">
              <w:rPr>
                <w:rFonts w:ascii="Verdana" w:hAnsi="Verdana"/>
              </w:rPr>
              <w:t xml:space="preserve">confidential conversations with </w:t>
            </w:r>
            <w:r w:rsidR="005106CE" w:rsidRPr="005106CE">
              <w:rPr>
                <w:rFonts w:ascii="Verdana" w:hAnsi="Verdana"/>
              </w:rPr>
              <w:t>all newly enrolled students through the College</w:t>
            </w:r>
            <w:r w:rsidR="0088276C">
              <w:rPr>
                <w:rFonts w:ascii="Verdana" w:hAnsi="Verdana"/>
              </w:rPr>
              <w:t>’s</w:t>
            </w:r>
            <w:r w:rsidR="005106CE" w:rsidRPr="005106CE">
              <w:rPr>
                <w:rFonts w:ascii="Verdana" w:hAnsi="Verdana"/>
              </w:rPr>
              <w:t xml:space="preserve"> online confidential disclosure form, with </w:t>
            </w:r>
            <w:r w:rsidR="0088276C">
              <w:rPr>
                <w:rFonts w:ascii="Verdana" w:hAnsi="Verdana"/>
              </w:rPr>
              <w:t>facilities</w:t>
            </w:r>
            <w:r w:rsidR="005106CE" w:rsidRPr="005106CE">
              <w:rPr>
                <w:rFonts w:ascii="Verdana" w:hAnsi="Verdana" w:cstheme="minorHAnsi"/>
              </w:rPr>
              <w:t xml:space="preserve"> to enable earlier tracking by managers of students with Safeguarding Concerns, Fitness to Study or those who are Looked After Children;</w:t>
            </w:r>
            <w:r>
              <w:rPr>
                <w:rFonts w:ascii="Verdana" w:hAnsi="Verdana" w:cstheme="minorHAnsi"/>
              </w:rPr>
              <w:t xml:space="preserve"> </w:t>
            </w:r>
          </w:p>
          <w:p w14:paraId="6B5A8E9E" w14:textId="13860206" w:rsidR="005106CE" w:rsidRPr="005106CE" w:rsidRDefault="005106CE" w:rsidP="00BA178E">
            <w:pPr>
              <w:rPr>
                <w:rFonts w:ascii="Verdana" w:hAnsi="Verdana"/>
              </w:rPr>
            </w:pPr>
          </w:p>
        </w:tc>
      </w:tr>
      <w:tr w:rsidR="003E1E80" w:rsidRPr="00243BE4" w14:paraId="23E1E800" w14:textId="77777777" w:rsidTr="00876574">
        <w:tc>
          <w:tcPr>
            <w:tcW w:w="561" w:type="dxa"/>
          </w:tcPr>
          <w:p w14:paraId="7F4825CC" w14:textId="77777777" w:rsidR="003E1E80" w:rsidRPr="00D00B00" w:rsidRDefault="003E1E80" w:rsidP="00BA178E">
            <w:pPr>
              <w:rPr>
                <w:rFonts w:ascii="Verdana" w:hAnsi="Verdana"/>
              </w:rPr>
            </w:pPr>
          </w:p>
        </w:tc>
        <w:tc>
          <w:tcPr>
            <w:tcW w:w="284" w:type="dxa"/>
          </w:tcPr>
          <w:p w14:paraId="0DDEF48E" w14:textId="77777777" w:rsidR="003E1E80" w:rsidRPr="00D00B00" w:rsidRDefault="003E1E80" w:rsidP="00BA178E">
            <w:pPr>
              <w:rPr>
                <w:rFonts w:ascii="Verdana" w:hAnsi="Verdana"/>
              </w:rPr>
            </w:pPr>
          </w:p>
        </w:tc>
        <w:tc>
          <w:tcPr>
            <w:tcW w:w="296" w:type="dxa"/>
          </w:tcPr>
          <w:p w14:paraId="3D589F5D" w14:textId="54FD80A3" w:rsidR="003E1E80" w:rsidRDefault="003E1E80" w:rsidP="00BA178E">
            <w:pPr>
              <w:rPr>
                <w:rFonts w:ascii="Verdana" w:hAnsi="Verdana"/>
                <w:b/>
                <w:bCs/>
              </w:rPr>
            </w:pPr>
            <w:r>
              <w:rPr>
                <w:rFonts w:ascii="Verdana" w:hAnsi="Verdana"/>
                <w:b/>
                <w:bCs/>
              </w:rPr>
              <w:t>.</w:t>
            </w:r>
          </w:p>
        </w:tc>
        <w:tc>
          <w:tcPr>
            <w:tcW w:w="8352" w:type="dxa"/>
          </w:tcPr>
          <w:p w14:paraId="2E0245AE" w14:textId="72CA3F96" w:rsidR="003E1E80" w:rsidRPr="00881912" w:rsidRDefault="00770084" w:rsidP="00BA178E">
            <w:pPr>
              <w:rPr>
                <w:rFonts w:ascii="Verdana" w:hAnsi="Verdana"/>
              </w:rPr>
            </w:pPr>
            <w:r>
              <w:rPr>
                <w:rFonts w:ascii="Verdana" w:hAnsi="Verdana"/>
              </w:rPr>
              <w:t xml:space="preserve">delivery of </w:t>
            </w:r>
            <w:r w:rsidR="005106CE" w:rsidRPr="00881912">
              <w:rPr>
                <w:rFonts w:ascii="Verdana" w:hAnsi="Verdana"/>
              </w:rPr>
              <w:t xml:space="preserve">further training on Prevent and Safeguarding to Safeguarding Officers, with teachers in the Digital Pathway scheduled to receive more in-depth training from the Waltham Forest Prevent Team on supporting students </w:t>
            </w:r>
            <w:r w:rsidR="0088276C">
              <w:rPr>
                <w:rFonts w:ascii="Verdana" w:hAnsi="Verdana"/>
              </w:rPr>
              <w:t>to be</w:t>
            </w:r>
            <w:r w:rsidR="005106CE" w:rsidRPr="00881912">
              <w:rPr>
                <w:rFonts w:ascii="Verdana" w:hAnsi="Verdana"/>
              </w:rPr>
              <w:t xml:space="preserve"> digita</w:t>
            </w:r>
            <w:r w:rsidR="0088276C">
              <w:rPr>
                <w:rFonts w:ascii="Verdana" w:hAnsi="Verdana"/>
              </w:rPr>
              <w:t>l</w:t>
            </w:r>
            <w:r w:rsidR="005106CE" w:rsidRPr="00881912">
              <w:rPr>
                <w:rFonts w:ascii="Verdana" w:hAnsi="Verdana"/>
              </w:rPr>
              <w:t>l</w:t>
            </w:r>
            <w:r w:rsidR="0088276C">
              <w:rPr>
                <w:rFonts w:ascii="Verdana" w:hAnsi="Verdana"/>
              </w:rPr>
              <w:t>y</w:t>
            </w:r>
            <w:r w:rsidR="005106CE" w:rsidRPr="00881912">
              <w:rPr>
                <w:rFonts w:ascii="Verdana" w:hAnsi="Verdana"/>
              </w:rPr>
              <w:t xml:space="preserve"> resilien</w:t>
            </w:r>
            <w:r w:rsidR="0088276C">
              <w:rPr>
                <w:rFonts w:ascii="Verdana" w:hAnsi="Verdana"/>
              </w:rPr>
              <w:t>t</w:t>
            </w:r>
            <w:r w:rsidR="005106CE" w:rsidRPr="00881912">
              <w:rPr>
                <w:rFonts w:ascii="Verdana" w:hAnsi="Verdana"/>
              </w:rPr>
              <w:t>;</w:t>
            </w:r>
          </w:p>
          <w:p w14:paraId="0BE679F8" w14:textId="44D156F8" w:rsidR="005106CE" w:rsidRPr="00881912" w:rsidRDefault="005106CE" w:rsidP="00BA178E">
            <w:pPr>
              <w:rPr>
                <w:rFonts w:ascii="Verdana" w:hAnsi="Verdana"/>
              </w:rPr>
            </w:pPr>
          </w:p>
        </w:tc>
      </w:tr>
      <w:tr w:rsidR="003E1E80" w:rsidRPr="00243BE4" w14:paraId="7F89DD68" w14:textId="77777777" w:rsidTr="00876574">
        <w:tc>
          <w:tcPr>
            <w:tcW w:w="561" w:type="dxa"/>
          </w:tcPr>
          <w:p w14:paraId="2C8E17BA" w14:textId="77777777" w:rsidR="003E1E80" w:rsidRPr="00D00B00" w:rsidRDefault="003E1E80" w:rsidP="00BA178E">
            <w:pPr>
              <w:rPr>
                <w:rFonts w:ascii="Verdana" w:hAnsi="Verdana"/>
              </w:rPr>
            </w:pPr>
          </w:p>
        </w:tc>
        <w:tc>
          <w:tcPr>
            <w:tcW w:w="284" w:type="dxa"/>
          </w:tcPr>
          <w:p w14:paraId="6230F83C" w14:textId="77777777" w:rsidR="003E1E80" w:rsidRPr="00D00B00" w:rsidRDefault="003E1E80" w:rsidP="00BA178E">
            <w:pPr>
              <w:rPr>
                <w:rFonts w:ascii="Verdana" w:hAnsi="Verdana"/>
              </w:rPr>
            </w:pPr>
          </w:p>
        </w:tc>
        <w:tc>
          <w:tcPr>
            <w:tcW w:w="296" w:type="dxa"/>
          </w:tcPr>
          <w:p w14:paraId="0BB00272" w14:textId="1C3CCCC0" w:rsidR="003E1E80" w:rsidRDefault="003E1E80" w:rsidP="00BA178E">
            <w:pPr>
              <w:rPr>
                <w:rFonts w:ascii="Verdana" w:hAnsi="Verdana"/>
                <w:b/>
                <w:bCs/>
              </w:rPr>
            </w:pPr>
            <w:r>
              <w:rPr>
                <w:rFonts w:ascii="Verdana" w:hAnsi="Verdana"/>
                <w:b/>
                <w:bCs/>
              </w:rPr>
              <w:t>.</w:t>
            </w:r>
          </w:p>
        </w:tc>
        <w:tc>
          <w:tcPr>
            <w:tcW w:w="8352" w:type="dxa"/>
          </w:tcPr>
          <w:p w14:paraId="6E753ACD" w14:textId="6CD15A8B" w:rsidR="00881912" w:rsidRDefault="00881912" w:rsidP="00BA178E">
            <w:pPr>
              <w:rPr>
                <w:rFonts w:ascii="Verdana" w:hAnsi="Verdana" w:cs="Calibri"/>
              </w:rPr>
            </w:pPr>
            <w:r w:rsidRPr="00881912">
              <w:rPr>
                <w:rFonts w:ascii="Verdana" w:hAnsi="Verdana"/>
              </w:rPr>
              <w:t xml:space="preserve">a </w:t>
            </w:r>
            <w:r>
              <w:rPr>
                <w:rFonts w:ascii="Verdana" w:hAnsi="Verdana"/>
              </w:rPr>
              <w:t xml:space="preserve">continued </w:t>
            </w:r>
            <w:r w:rsidRPr="00881912">
              <w:rPr>
                <w:rFonts w:ascii="Verdana" w:hAnsi="Verdana" w:cs="Calibri"/>
              </w:rPr>
              <w:t>robust and preventive approach to risks around gangs and youth violence</w:t>
            </w:r>
            <w:r>
              <w:rPr>
                <w:rFonts w:ascii="Verdana" w:hAnsi="Verdana" w:cs="Calibri"/>
              </w:rPr>
              <w:t xml:space="preserve">, </w:t>
            </w:r>
            <w:r w:rsidRPr="00881912">
              <w:rPr>
                <w:rFonts w:ascii="Verdana" w:hAnsi="Verdana" w:cs="Calibri"/>
              </w:rPr>
              <w:t>includ</w:t>
            </w:r>
            <w:r>
              <w:rPr>
                <w:rFonts w:ascii="Verdana" w:hAnsi="Verdana" w:cs="Calibri"/>
              </w:rPr>
              <w:t>ing</w:t>
            </w:r>
            <w:r w:rsidRPr="00881912">
              <w:rPr>
                <w:rFonts w:ascii="Verdana" w:hAnsi="Verdana" w:cs="Calibri"/>
              </w:rPr>
              <w:t xml:space="preserve"> </w:t>
            </w:r>
            <w:r>
              <w:rPr>
                <w:rFonts w:ascii="Verdana" w:hAnsi="Verdana" w:cs="Calibri"/>
              </w:rPr>
              <w:t>additional</w:t>
            </w:r>
            <w:r w:rsidRPr="00881912">
              <w:rPr>
                <w:rFonts w:ascii="Verdana" w:hAnsi="Verdana" w:cs="Calibri"/>
              </w:rPr>
              <w:t xml:space="preserve"> investment in </w:t>
            </w:r>
            <w:r>
              <w:rPr>
                <w:rFonts w:ascii="Verdana" w:hAnsi="Verdana" w:cs="Calibri"/>
              </w:rPr>
              <w:t xml:space="preserve">the </w:t>
            </w:r>
            <w:r w:rsidRPr="00881912">
              <w:rPr>
                <w:rFonts w:ascii="Verdana" w:hAnsi="Verdana" w:cs="Calibri"/>
              </w:rPr>
              <w:t xml:space="preserve">team of campus officers, </w:t>
            </w:r>
            <w:r w:rsidR="00770084">
              <w:rPr>
                <w:rFonts w:ascii="Verdana" w:hAnsi="Verdana" w:cs="Calibri"/>
              </w:rPr>
              <w:t xml:space="preserve">the </w:t>
            </w:r>
            <w:r w:rsidRPr="00881912">
              <w:rPr>
                <w:rFonts w:ascii="Verdana" w:hAnsi="Verdana" w:cs="Calibri"/>
              </w:rPr>
              <w:t xml:space="preserve">presence of senior staff at the end of the day and regular communication around staying safe </w:t>
            </w:r>
            <w:r w:rsidR="00770084">
              <w:rPr>
                <w:rFonts w:ascii="Verdana" w:hAnsi="Verdana" w:cs="Calibri"/>
              </w:rPr>
              <w:t xml:space="preserve">while </w:t>
            </w:r>
            <w:r w:rsidRPr="00881912">
              <w:rPr>
                <w:rFonts w:ascii="Verdana" w:hAnsi="Verdana" w:cs="Calibri"/>
              </w:rPr>
              <w:t xml:space="preserve">travelling to and from </w:t>
            </w:r>
            <w:r w:rsidR="00770084">
              <w:rPr>
                <w:rFonts w:ascii="Verdana" w:hAnsi="Verdana" w:cs="Calibri"/>
              </w:rPr>
              <w:t>the C</w:t>
            </w:r>
            <w:r w:rsidRPr="00881912">
              <w:rPr>
                <w:rFonts w:ascii="Verdana" w:hAnsi="Verdana" w:cs="Calibri"/>
              </w:rPr>
              <w:t>ollege</w:t>
            </w:r>
            <w:r>
              <w:rPr>
                <w:rFonts w:ascii="Verdana" w:hAnsi="Verdana" w:cs="Calibri"/>
              </w:rPr>
              <w:t>;</w:t>
            </w:r>
          </w:p>
          <w:p w14:paraId="7A5A916C" w14:textId="2F10C172" w:rsidR="003E1E80" w:rsidRPr="00881912" w:rsidRDefault="003E1E80" w:rsidP="00BA178E">
            <w:pPr>
              <w:rPr>
                <w:rFonts w:ascii="Verdana" w:hAnsi="Verdana"/>
              </w:rPr>
            </w:pPr>
          </w:p>
        </w:tc>
      </w:tr>
      <w:tr w:rsidR="003E1E80" w:rsidRPr="00243BE4" w14:paraId="227D15AF" w14:textId="77777777" w:rsidTr="00876574">
        <w:tc>
          <w:tcPr>
            <w:tcW w:w="561" w:type="dxa"/>
          </w:tcPr>
          <w:p w14:paraId="66FFE4AD" w14:textId="77777777" w:rsidR="003E1E80" w:rsidRPr="00D00B00" w:rsidRDefault="003E1E80" w:rsidP="00BA178E">
            <w:pPr>
              <w:rPr>
                <w:rFonts w:ascii="Verdana" w:hAnsi="Verdana"/>
              </w:rPr>
            </w:pPr>
          </w:p>
        </w:tc>
        <w:tc>
          <w:tcPr>
            <w:tcW w:w="284" w:type="dxa"/>
          </w:tcPr>
          <w:p w14:paraId="01F4B178" w14:textId="77777777" w:rsidR="003E1E80" w:rsidRPr="00D00B00" w:rsidRDefault="003E1E80" w:rsidP="00BA178E">
            <w:pPr>
              <w:rPr>
                <w:rFonts w:ascii="Verdana" w:hAnsi="Verdana"/>
              </w:rPr>
            </w:pPr>
          </w:p>
        </w:tc>
        <w:tc>
          <w:tcPr>
            <w:tcW w:w="296" w:type="dxa"/>
          </w:tcPr>
          <w:p w14:paraId="2348FC4C" w14:textId="6387ABED" w:rsidR="003E1E80" w:rsidRDefault="003E1E80" w:rsidP="00BA178E">
            <w:pPr>
              <w:rPr>
                <w:rFonts w:ascii="Verdana" w:hAnsi="Verdana"/>
                <w:b/>
                <w:bCs/>
              </w:rPr>
            </w:pPr>
            <w:r>
              <w:rPr>
                <w:rFonts w:ascii="Verdana" w:hAnsi="Verdana"/>
                <w:b/>
                <w:bCs/>
              </w:rPr>
              <w:t>.</w:t>
            </w:r>
          </w:p>
        </w:tc>
        <w:tc>
          <w:tcPr>
            <w:tcW w:w="8352" w:type="dxa"/>
          </w:tcPr>
          <w:p w14:paraId="72ED897D" w14:textId="539BBEB7" w:rsidR="00881912" w:rsidRPr="00881912" w:rsidRDefault="00770084" w:rsidP="00BA178E">
            <w:pPr>
              <w:rPr>
                <w:rFonts w:ascii="Verdana" w:hAnsi="Verdana" w:cs="Calibri"/>
              </w:rPr>
            </w:pPr>
            <w:r>
              <w:rPr>
                <w:rFonts w:ascii="Verdana" w:hAnsi="Verdana" w:cs="Calibri"/>
              </w:rPr>
              <w:t xml:space="preserve">continued implementation of regular </w:t>
            </w:r>
            <w:r w:rsidR="00881912" w:rsidRPr="00881912">
              <w:rPr>
                <w:rFonts w:ascii="Verdana" w:hAnsi="Verdana" w:cs="Calibri"/>
              </w:rPr>
              <w:t>knife and bag searches - despite the challenging context, the behaviour of students ha</w:t>
            </w:r>
            <w:r>
              <w:rPr>
                <w:rFonts w:ascii="Verdana" w:hAnsi="Verdana" w:cs="Calibri"/>
              </w:rPr>
              <w:t>s</w:t>
            </w:r>
            <w:r w:rsidR="00881912" w:rsidRPr="00881912">
              <w:rPr>
                <w:rFonts w:ascii="Verdana" w:hAnsi="Verdana" w:cs="Calibri"/>
              </w:rPr>
              <w:t xml:space="preserve"> improved significantly inside the classroom and around the campus;</w:t>
            </w:r>
          </w:p>
          <w:p w14:paraId="4203AFD3" w14:textId="292B0863" w:rsidR="003E1E80" w:rsidRPr="00881912" w:rsidRDefault="00881912" w:rsidP="00BA178E">
            <w:pPr>
              <w:rPr>
                <w:rFonts w:ascii="Verdana" w:hAnsi="Verdana"/>
              </w:rPr>
            </w:pPr>
            <w:r w:rsidRPr="00881912">
              <w:rPr>
                <w:rFonts w:ascii="Verdana" w:hAnsi="Verdana" w:cs="Calibri"/>
              </w:rPr>
              <w:t xml:space="preserve"> </w:t>
            </w:r>
          </w:p>
        </w:tc>
      </w:tr>
      <w:tr w:rsidR="00881912" w:rsidRPr="00243BE4" w14:paraId="377C6832" w14:textId="77777777" w:rsidTr="00876574">
        <w:tc>
          <w:tcPr>
            <w:tcW w:w="561" w:type="dxa"/>
          </w:tcPr>
          <w:p w14:paraId="39D6EB88" w14:textId="77777777" w:rsidR="00881912" w:rsidRPr="00D00B00" w:rsidRDefault="00881912" w:rsidP="00BA178E">
            <w:pPr>
              <w:rPr>
                <w:rFonts w:ascii="Verdana" w:hAnsi="Verdana"/>
              </w:rPr>
            </w:pPr>
          </w:p>
        </w:tc>
        <w:tc>
          <w:tcPr>
            <w:tcW w:w="284" w:type="dxa"/>
          </w:tcPr>
          <w:p w14:paraId="05168904" w14:textId="77777777" w:rsidR="00881912" w:rsidRPr="00D00B00" w:rsidRDefault="00881912" w:rsidP="00BA178E">
            <w:pPr>
              <w:rPr>
                <w:rFonts w:ascii="Verdana" w:hAnsi="Verdana"/>
              </w:rPr>
            </w:pPr>
          </w:p>
        </w:tc>
        <w:tc>
          <w:tcPr>
            <w:tcW w:w="296" w:type="dxa"/>
          </w:tcPr>
          <w:p w14:paraId="4C93124E" w14:textId="6C51981C" w:rsidR="00881912" w:rsidRPr="00881912" w:rsidRDefault="00881912" w:rsidP="00BA178E">
            <w:pPr>
              <w:rPr>
                <w:rFonts w:ascii="Verdana" w:hAnsi="Verdana"/>
                <w:b/>
                <w:bCs/>
              </w:rPr>
            </w:pPr>
            <w:r w:rsidRPr="00881912">
              <w:rPr>
                <w:rFonts w:ascii="Verdana" w:hAnsi="Verdana"/>
                <w:b/>
                <w:bCs/>
              </w:rPr>
              <w:t>.</w:t>
            </w:r>
          </w:p>
        </w:tc>
        <w:tc>
          <w:tcPr>
            <w:tcW w:w="8352" w:type="dxa"/>
          </w:tcPr>
          <w:p w14:paraId="4700FD27" w14:textId="62A72808" w:rsidR="00881912" w:rsidRPr="00881912" w:rsidRDefault="00881912" w:rsidP="00BA178E">
            <w:pPr>
              <w:rPr>
                <w:rFonts w:ascii="Verdana" w:hAnsi="Verdana"/>
              </w:rPr>
            </w:pPr>
            <w:r w:rsidRPr="00881912">
              <w:rPr>
                <w:rFonts w:ascii="Verdana" w:hAnsi="Verdana"/>
              </w:rPr>
              <w:t>effective engagement with parents through online meetings (e.g. for MPA students), Parents Forums and regular video updates, the attendance at which in their online format has significantly improved compared to</w:t>
            </w:r>
            <w:r w:rsidR="0088276C">
              <w:rPr>
                <w:rFonts w:ascii="Verdana" w:hAnsi="Verdana"/>
              </w:rPr>
              <w:t xml:space="preserve"> previous</w:t>
            </w:r>
            <w:r w:rsidRPr="00881912">
              <w:rPr>
                <w:rFonts w:ascii="Verdana" w:hAnsi="Verdana"/>
              </w:rPr>
              <w:t xml:space="preserve"> face-to-face events;</w:t>
            </w:r>
          </w:p>
          <w:p w14:paraId="4132087D" w14:textId="671C62A3" w:rsidR="00881912" w:rsidRPr="00881912" w:rsidRDefault="00881912" w:rsidP="00BA178E">
            <w:pPr>
              <w:rPr>
                <w:rFonts w:ascii="Verdana" w:hAnsi="Verdana" w:cs="Calibri"/>
              </w:rPr>
            </w:pPr>
          </w:p>
        </w:tc>
      </w:tr>
      <w:tr w:rsidR="00881912" w:rsidRPr="00243BE4" w14:paraId="10DA586B" w14:textId="77777777" w:rsidTr="00876574">
        <w:tc>
          <w:tcPr>
            <w:tcW w:w="561" w:type="dxa"/>
          </w:tcPr>
          <w:p w14:paraId="3AB61643" w14:textId="77777777" w:rsidR="00881912" w:rsidRPr="00D00B00" w:rsidRDefault="00881912" w:rsidP="00BA178E">
            <w:pPr>
              <w:rPr>
                <w:rFonts w:ascii="Verdana" w:hAnsi="Verdana"/>
              </w:rPr>
            </w:pPr>
          </w:p>
        </w:tc>
        <w:tc>
          <w:tcPr>
            <w:tcW w:w="284" w:type="dxa"/>
          </w:tcPr>
          <w:p w14:paraId="7680E8D8" w14:textId="77777777" w:rsidR="00881912" w:rsidRPr="00D00B00" w:rsidRDefault="00881912" w:rsidP="00BA178E">
            <w:pPr>
              <w:rPr>
                <w:rFonts w:ascii="Verdana" w:hAnsi="Verdana"/>
              </w:rPr>
            </w:pPr>
          </w:p>
        </w:tc>
        <w:tc>
          <w:tcPr>
            <w:tcW w:w="296" w:type="dxa"/>
          </w:tcPr>
          <w:p w14:paraId="4A71A4DF" w14:textId="114564D5" w:rsidR="00881912" w:rsidRPr="00881912" w:rsidRDefault="00881912" w:rsidP="00BA178E">
            <w:pPr>
              <w:rPr>
                <w:rFonts w:ascii="Verdana" w:hAnsi="Verdana"/>
                <w:b/>
                <w:bCs/>
              </w:rPr>
            </w:pPr>
            <w:r w:rsidRPr="00881912">
              <w:rPr>
                <w:rFonts w:ascii="Verdana" w:hAnsi="Verdana"/>
                <w:b/>
                <w:bCs/>
              </w:rPr>
              <w:t>.</w:t>
            </w:r>
          </w:p>
        </w:tc>
        <w:tc>
          <w:tcPr>
            <w:tcW w:w="8352" w:type="dxa"/>
          </w:tcPr>
          <w:p w14:paraId="6280659F" w14:textId="56EEA8FA" w:rsidR="00881912" w:rsidRPr="00770084" w:rsidRDefault="00881912" w:rsidP="00BA178E">
            <w:pPr>
              <w:rPr>
                <w:rFonts w:ascii="Verdana" w:hAnsi="Verdana"/>
                <w:i/>
                <w:iCs/>
              </w:rPr>
            </w:pPr>
            <w:r w:rsidRPr="00770084">
              <w:rPr>
                <w:rFonts w:ascii="Verdana" w:hAnsi="Verdana"/>
              </w:rPr>
              <w:t xml:space="preserve">clear guidance issued to staff to ensure that online lessons are conducted safely, and that ‘Ready to Learn online’ is in place for students, with registers being taken for online learning to reveal absence and enable follow-up in the normal manner; </w:t>
            </w:r>
            <w:r w:rsidRPr="00770084">
              <w:rPr>
                <w:rFonts w:ascii="Verdana" w:hAnsi="Verdana"/>
                <w:i/>
                <w:iCs/>
              </w:rPr>
              <w:t>and</w:t>
            </w:r>
          </w:p>
          <w:p w14:paraId="04CEE957" w14:textId="14642F89" w:rsidR="00881912" w:rsidRPr="00770084" w:rsidRDefault="00881912" w:rsidP="00BA178E">
            <w:pPr>
              <w:rPr>
                <w:rFonts w:ascii="Verdana" w:hAnsi="Verdana" w:cs="Calibri"/>
                <w:i/>
                <w:iCs/>
              </w:rPr>
            </w:pPr>
          </w:p>
        </w:tc>
      </w:tr>
      <w:tr w:rsidR="00881912" w:rsidRPr="00243BE4" w14:paraId="5B4E77AA" w14:textId="77777777" w:rsidTr="00876574">
        <w:tc>
          <w:tcPr>
            <w:tcW w:w="561" w:type="dxa"/>
          </w:tcPr>
          <w:p w14:paraId="237EC1FC" w14:textId="77777777" w:rsidR="00881912" w:rsidRPr="00D00B00" w:rsidRDefault="00881912" w:rsidP="00BA178E">
            <w:pPr>
              <w:rPr>
                <w:rFonts w:ascii="Verdana" w:hAnsi="Verdana"/>
              </w:rPr>
            </w:pPr>
          </w:p>
        </w:tc>
        <w:tc>
          <w:tcPr>
            <w:tcW w:w="284" w:type="dxa"/>
          </w:tcPr>
          <w:p w14:paraId="50E4B477" w14:textId="77777777" w:rsidR="00881912" w:rsidRPr="00D00B00" w:rsidRDefault="00881912" w:rsidP="00BA178E">
            <w:pPr>
              <w:rPr>
                <w:rFonts w:ascii="Verdana" w:hAnsi="Verdana"/>
              </w:rPr>
            </w:pPr>
          </w:p>
        </w:tc>
        <w:tc>
          <w:tcPr>
            <w:tcW w:w="296" w:type="dxa"/>
          </w:tcPr>
          <w:p w14:paraId="70EC23DA" w14:textId="2E3A0031" w:rsidR="00881912" w:rsidRDefault="00881912" w:rsidP="00BA178E">
            <w:pPr>
              <w:rPr>
                <w:rFonts w:ascii="Verdana" w:hAnsi="Verdana"/>
                <w:b/>
                <w:bCs/>
              </w:rPr>
            </w:pPr>
            <w:r>
              <w:rPr>
                <w:rFonts w:ascii="Verdana" w:hAnsi="Verdana"/>
                <w:b/>
                <w:bCs/>
              </w:rPr>
              <w:t>.</w:t>
            </w:r>
          </w:p>
        </w:tc>
        <w:tc>
          <w:tcPr>
            <w:tcW w:w="8352" w:type="dxa"/>
          </w:tcPr>
          <w:p w14:paraId="2E284E3E" w14:textId="41B7A5D4" w:rsidR="00881912" w:rsidRPr="00770084" w:rsidRDefault="00770084" w:rsidP="00BA178E">
            <w:pPr>
              <w:rPr>
                <w:rFonts w:ascii="Verdana" w:hAnsi="Verdana" w:cs="Calibri"/>
              </w:rPr>
            </w:pPr>
            <w:r>
              <w:rPr>
                <w:rFonts w:ascii="Verdana" w:hAnsi="Verdana" w:cs="Calibri"/>
              </w:rPr>
              <w:t>emphasis on the importance of e</w:t>
            </w:r>
            <w:r w:rsidR="00881912" w:rsidRPr="00770084">
              <w:rPr>
                <w:rFonts w:ascii="Verdana" w:hAnsi="Verdana" w:cs="Calibri"/>
              </w:rPr>
              <w:t xml:space="preserve">ntry </w:t>
            </w:r>
            <w:r>
              <w:rPr>
                <w:rFonts w:ascii="Verdana" w:hAnsi="Verdana" w:cs="Calibri"/>
              </w:rPr>
              <w:t>p</w:t>
            </w:r>
            <w:r w:rsidR="00881912" w:rsidRPr="00770084">
              <w:rPr>
                <w:rFonts w:ascii="Verdana" w:hAnsi="Verdana" w:cs="Calibri"/>
              </w:rPr>
              <w:t xml:space="preserve">eriods to facilitate opportunities for staff to share messages </w:t>
            </w:r>
            <w:r>
              <w:rPr>
                <w:rFonts w:ascii="Verdana" w:hAnsi="Verdana" w:cs="Calibri"/>
              </w:rPr>
              <w:t>concerning</w:t>
            </w:r>
            <w:r w:rsidR="00881912" w:rsidRPr="00770084">
              <w:rPr>
                <w:rFonts w:ascii="Verdana" w:hAnsi="Verdana" w:cs="Calibri"/>
              </w:rPr>
              <w:t xml:space="preserve"> well-being and safety, and provide a calm, positive, one</w:t>
            </w:r>
            <w:r>
              <w:rPr>
                <w:rFonts w:ascii="Verdana" w:hAnsi="Verdana" w:cs="Calibri"/>
              </w:rPr>
              <w:t>-</w:t>
            </w:r>
            <w:r w:rsidR="00881912" w:rsidRPr="00770084">
              <w:rPr>
                <w:rFonts w:ascii="Verdana" w:hAnsi="Verdana" w:cs="Calibri"/>
              </w:rPr>
              <w:t>way flow to the start of the day</w:t>
            </w:r>
            <w:r>
              <w:rPr>
                <w:rFonts w:ascii="Verdana" w:hAnsi="Verdana" w:cs="Calibri"/>
              </w:rPr>
              <w:t>.</w:t>
            </w:r>
          </w:p>
        </w:tc>
      </w:tr>
    </w:tbl>
    <w:p w14:paraId="076C38C1" w14:textId="3A0D0D9F" w:rsidR="00201552" w:rsidRDefault="00201552"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770084" w:rsidRPr="006D35B2" w14:paraId="007D37CC" w14:textId="77777777" w:rsidTr="00876574">
        <w:tc>
          <w:tcPr>
            <w:tcW w:w="529" w:type="dxa"/>
            <w:shd w:val="clear" w:color="auto" w:fill="auto"/>
            <w:tcMar>
              <w:top w:w="0" w:type="dxa"/>
              <w:left w:w="108" w:type="dxa"/>
              <w:bottom w:w="0" w:type="dxa"/>
              <w:right w:w="108" w:type="dxa"/>
            </w:tcMar>
          </w:tcPr>
          <w:p w14:paraId="3BC4165C" w14:textId="77777777" w:rsidR="00770084" w:rsidRDefault="00770084" w:rsidP="00BA178E">
            <w:pPr>
              <w:pStyle w:val="NoSpacing"/>
              <w:rPr>
                <w:b/>
              </w:rPr>
            </w:pPr>
          </w:p>
        </w:tc>
        <w:tc>
          <w:tcPr>
            <w:tcW w:w="8935" w:type="dxa"/>
            <w:shd w:val="clear" w:color="auto" w:fill="auto"/>
            <w:tcMar>
              <w:top w:w="0" w:type="dxa"/>
              <w:left w:w="108" w:type="dxa"/>
              <w:bottom w:w="0" w:type="dxa"/>
              <w:right w:w="108" w:type="dxa"/>
            </w:tcMar>
          </w:tcPr>
          <w:p w14:paraId="6C9A8F6D" w14:textId="261C7878" w:rsidR="00770084" w:rsidRPr="006D35B2" w:rsidRDefault="00AA2933" w:rsidP="00BA178E">
            <w:pPr>
              <w:rPr>
                <w:rFonts w:ascii="Verdana" w:hAnsi="Verdana"/>
              </w:rPr>
            </w:pPr>
            <w:r>
              <w:rPr>
                <w:rFonts w:ascii="Verdana" w:hAnsi="Verdana"/>
              </w:rPr>
              <w:t>Members noted the measures taken, and remarked positively on the impact of the “Reach-Up” programme which had recorded a 100% success</w:t>
            </w:r>
            <w:r w:rsidR="00FF347E">
              <w:rPr>
                <w:rFonts w:ascii="Verdana" w:hAnsi="Verdana"/>
              </w:rPr>
              <w:t xml:space="preserve"> rate</w:t>
            </w:r>
            <w:r>
              <w:rPr>
                <w:rFonts w:ascii="Verdana" w:hAnsi="Verdana"/>
              </w:rPr>
              <w:t xml:space="preserve"> </w:t>
            </w:r>
            <w:r w:rsidR="00FF347E">
              <w:rPr>
                <w:rFonts w:ascii="Verdana" w:hAnsi="Verdana"/>
              </w:rPr>
              <w:t>in relation to</w:t>
            </w:r>
            <w:r>
              <w:rPr>
                <w:rFonts w:ascii="Verdana" w:hAnsi="Verdana"/>
              </w:rPr>
              <w:t xml:space="preserve"> the most recent student cohort.</w:t>
            </w:r>
          </w:p>
        </w:tc>
      </w:tr>
    </w:tbl>
    <w:p w14:paraId="0CC2ED4B" w14:textId="77777777" w:rsidR="003E1E80" w:rsidRPr="009D70B8" w:rsidRDefault="003E1E80"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827D2" w:rsidRPr="00F85641" w14:paraId="1FE30467" w14:textId="77777777" w:rsidTr="00876574">
        <w:tc>
          <w:tcPr>
            <w:tcW w:w="529" w:type="dxa"/>
            <w:shd w:val="clear" w:color="auto" w:fill="auto"/>
            <w:tcMar>
              <w:top w:w="0" w:type="dxa"/>
              <w:left w:w="108" w:type="dxa"/>
              <w:bottom w:w="0" w:type="dxa"/>
              <w:right w:w="108" w:type="dxa"/>
            </w:tcMar>
          </w:tcPr>
          <w:p w14:paraId="157630D9" w14:textId="7A017038" w:rsidR="006827D2" w:rsidRPr="00770084" w:rsidRDefault="006827D2" w:rsidP="006827D2">
            <w:pPr>
              <w:pStyle w:val="NoSpacing"/>
              <w:rPr>
                <w:b/>
              </w:rPr>
            </w:pPr>
            <w:r w:rsidRPr="00770084">
              <w:rPr>
                <w:b/>
              </w:rPr>
              <w:t>1</w:t>
            </w:r>
            <w:r w:rsidR="00333F86" w:rsidRPr="00770084">
              <w:rPr>
                <w:b/>
              </w:rPr>
              <w:t>0</w:t>
            </w:r>
          </w:p>
        </w:tc>
        <w:tc>
          <w:tcPr>
            <w:tcW w:w="8935" w:type="dxa"/>
            <w:shd w:val="clear" w:color="auto" w:fill="auto"/>
            <w:tcMar>
              <w:top w:w="0" w:type="dxa"/>
              <w:left w:w="108" w:type="dxa"/>
              <w:bottom w:w="0" w:type="dxa"/>
              <w:right w:w="108" w:type="dxa"/>
            </w:tcMar>
          </w:tcPr>
          <w:p w14:paraId="54F87A4D" w14:textId="77777777" w:rsidR="006827D2" w:rsidRPr="00770084" w:rsidRDefault="006827D2" w:rsidP="006827D2">
            <w:pPr>
              <w:rPr>
                <w:rFonts w:ascii="Verdana" w:hAnsi="Verdana"/>
                <w:b/>
              </w:rPr>
            </w:pPr>
            <w:r w:rsidRPr="00770084">
              <w:rPr>
                <w:rFonts w:ascii="Verdana" w:hAnsi="Verdana"/>
                <w:b/>
              </w:rPr>
              <w:t>External Corporate Hospitality</w:t>
            </w:r>
          </w:p>
          <w:p w14:paraId="432E23DA" w14:textId="77777777" w:rsidR="006827D2" w:rsidRPr="00770084" w:rsidRDefault="006827D2" w:rsidP="006827D2">
            <w:pPr>
              <w:rPr>
                <w:rFonts w:ascii="Verdana" w:hAnsi="Verdana"/>
                <w:b/>
              </w:rPr>
            </w:pPr>
          </w:p>
          <w:p w14:paraId="5B54245D" w14:textId="5B993B11" w:rsidR="006827D2" w:rsidRPr="00770084" w:rsidRDefault="006827D2" w:rsidP="006827D2">
            <w:pPr>
              <w:rPr>
                <w:rFonts w:ascii="Verdana" w:hAnsi="Verdana"/>
                <w:bCs/>
              </w:rPr>
            </w:pPr>
            <w:r w:rsidRPr="00770084">
              <w:rPr>
                <w:rFonts w:ascii="Verdana" w:hAnsi="Verdana"/>
                <w:bCs/>
              </w:rPr>
              <w:t xml:space="preserve">There </w:t>
            </w:r>
            <w:r w:rsidR="004D37CF" w:rsidRPr="00770084">
              <w:rPr>
                <w:rFonts w:ascii="Verdana" w:hAnsi="Verdana"/>
                <w:bCs/>
              </w:rPr>
              <w:t>were no matters</w:t>
            </w:r>
            <w:r w:rsidRPr="00770084">
              <w:rPr>
                <w:rFonts w:ascii="Verdana" w:hAnsi="Verdana"/>
                <w:bCs/>
              </w:rPr>
              <w:t xml:space="preserve"> to report.</w:t>
            </w:r>
          </w:p>
          <w:p w14:paraId="723CC1C8" w14:textId="4D096E60" w:rsidR="004D37CF" w:rsidRPr="00770084" w:rsidRDefault="004D37CF" w:rsidP="006827D2">
            <w:pPr>
              <w:rPr>
                <w:rFonts w:ascii="Verdana" w:hAnsi="Verdana"/>
                <w:b/>
              </w:rPr>
            </w:pPr>
          </w:p>
        </w:tc>
      </w:tr>
      <w:tr w:rsidR="006827D2" w:rsidRPr="00F85641" w14:paraId="3DDEBB6F" w14:textId="77777777" w:rsidTr="00876574">
        <w:tc>
          <w:tcPr>
            <w:tcW w:w="529" w:type="dxa"/>
            <w:shd w:val="clear" w:color="auto" w:fill="auto"/>
            <w:tcMar>
              <w:top w:w="0" w:type="dxa"/>
              <w:left w:w="108" w:type="dxa"/>
              <w:bottom w:w="0" w:type="dxa"/>
              <w:right w:w="108" w:type="dxa"/>
            </w:tcMar>
          </w:tcPr>
          <w:p w14:paraId="788A131F" w14:textId="5DB80F2F" w:rsidR="006827D2" w:rsidRPr="00F85641" w:rsidRDefault="006827D2" w:rsidP="006827D2">
            <w:pPr>
              <w:pStyle w:val="NoSpacing"/>
              <w:rPr>
                <w:b/>
              </w:rPr>
            </w:pPr>
            <w:r w:rsidRPr="00F85641">
              <w:rPr>
                <w:b/>
              </w:rPr>
              <w:t>1</w:t>
            </w:r>
            <w:r w:rsidR="00BE4911">
              <w:rPr>
                <w:b/>
              </w:rPr>
              <w:t>1</w:t>
            </w:r>
          </w:p>
        </w:tc>
        <w:tc>
          <w:tcPr>
            <w:tcW w:w="8935" w:type="dxa"/>
            <w:shd w:val="clear" w:color="auto" w:fill="auto"/>
            <w:tcMar>
              <w:top w:w="0" w:type="dxa"/>
              <w:left w:w="108" w:type="dxa"/>
              <w:bottom w:w="0" w:type="dxa"/>
              <w:right w:w="108" w:type="dxa"/>
            </w:tcMar>
          </w:tcPr>
          <w:p w14:paraId="640C7250" w14:textId="77777777" w:rsidR="006827D2" w:rsidRPr="00F85641" w:rsidRDefault="006827D2" w:rsidP="006827D2">
            <w:pPr>
              <w:rPr>
                <w:rFonts w:ascii="Verdana" w:hAnsi="Verdana"/>
                <w:b/>
              </w:rPr>
            </w:pPr>
            <w:r w:rsidRPr="00F85641">
              <w:rPr>
                <w:rFonts w:ascii="Verdana" w:hAnsi="Verdana"/>
                <w:b/>
              </w:rPr>
              <w:t>Disclosure and Barring Service (DBS) Checking of Governors</w:t>
            </w:r>
          </w:p>
          <w:p w14:paraId="4C8A5030" w14:textId="77777777" w:rsidR="006827D2" w:rsidRPr="00F85641" w:rsidRDefault="006827D2" w:rsidP="006827D2">
            <w:pPr>
              <w:rPr>
                <w:rFonts w:ascii="Verdana" w:hAnsi="Verdana"/>
              </w:rPr>
            </w:pPr>
          </w:p>
          <w:p w14:paraId="71331534" w14:textId="77E52E48" w:rsidR="006827D2" w:rsidRDefault="006827D2" w:rsidP="006827D2">
            <w:pPr>
              <w:rPr>
                <w:rFonts w:ascii="Verdana" w:hAnsi="Verdana"/>
              </w:rPr>
            </w:pPr>
            <w:r>
              <w:rPr>
                <w:rFonts w:ascii="Verdana" w:hAnsi="Verdana"/>
              </w:rPr>
              <w:t>T</w:t>
            </w:r>
            <w:r w:rsidRPr="00F85641">
              <w:rPr>
                <w:rFonts w:ascii="Verdana" w:hAnsi="Verdana"/>
              </w:rPr>
              <w:t>he Clerk to the Corporation</w:t>
            </w:r>
            <w:r w:rsidR="00BE4911">
              <w:rPr>
                <w:rFonts w:ascii="Verdana" w:hAnsi="Verdana"/>
              </w:rPr>
              <w:t xml:space="preserve"> </w:t>
            </w:r>
            <w:r>
              <w:rPr>
                <w:rFonts w:ascii="Verdana" w:hAnsi="Verdana"/>
              </w:rPr>
              <w:t>confirmed</w:t>
            </w:r>
            <w:r w:rsidRPr="00F85641">
              <w:rPr>
                <w:rFonts w:ascii="Verdana" w:hAnsi="Verdana"/>
              </w:rPr>
              <w:t xml:space="preserve"> that all governors </w:t>
            </w:r>
            <w:r>
              <w:rPr>
                <w:rFonts w:ascii="Verdana" w:hAnsi="Verdana"/>
              </w:rPr>
              <w:t>possess</w:t>
            </w:r>
            <w:r w:rsidRPr="00F85641">
              <w:rPr>
                <w:rFonts w:ascii="Verdana" w:hAnsi="Verdana"/>
              </w:rPr>
              <w:t xml:space="preserve"> </w:t>
            </w:r>
            <w:r w:rsidR="0088276C">
              <w:rPr>
                <w:rFonts w:ascii="Verdana" w:hAnsi="Verdana"/>
              </w:rPr>
              <w:t>valid</w:t>
            </w:r>
            <w:r w:rsidRPr="00F85641">
              <w:rPr>
                <w:rFonts w:ascii="Verdana" w:hAnsi="Verdana"/>
              </w:rPr>
              <w:t xml:space="preserve"> clearances</w:t>
            </w:r>
            <w:r w:rsidR="00CD65F2">
              <w:rPr>
                <w:rFonts w:ascii="Verdana" w:hAnsi="Verdana"/>
              </w:rPr>
              <w:t>, except those appointed for the first time at the Corporation meeting held on 13 October 2020 for whom the process ha</w:t>
            </w:r>
            <w:r w:rsidR="00AA2933">
              <w:rPr>
                <w:rFonts w:ascii="Verdana" w:hAnsi="Verdana"/>
              </w:rPr>
              <w:t>d</w:t>
            </w:r>
            <w:r w:rsidR="00CD65F2">
              <w:rPr>
                <w:rFonts w:ascii="Verdana" w:hAnsi="Verdana"/>
              </w:rPr>
              <w:t xml:space="preserve"> been put in hand</w:t>
            </w:r>
            <w:r w:rsidRPr="00F85641">
              <w:rPr>
                <w:rFonts w:ascii="Verdana" w:hAnsi="Verdana"/>
              </w:rPr>
              <w:t>.</w:t>
            </w:r>
          </w:p>
          <w:p w14:paraId="2E2D780B" w14:textId="21630973" w:rsidR="00AA2933" w:rsidRDefault="00AA2933" w:rsidP="006827D2">
            <w:pPr>
              <w:rPr>
                <w:rFonts w:ascii="Verdana" w:hAnsi="Verdana"/>
              </w:rPr>
            </w:pPr>
          </w:p>
          <w:p w14:paraId="6F6E573E" w14:textId="124ABECF" w:rsidR="00AA2933" w:rsidRPr="00F85641" w:rsidRDefault="00AA2933" w:rsidP="006827D2">
            <w:pPr>
              <w:rPr>
                <w:rFonts w:ascii="Verdana" w:hAnsi="Verdana"/>
              </w:rPr>
            </w:pPr>
            <w:r>
              <w:rPr>
                <w:rFonts w:ascii="Verdana" w:hAnsi="Verdana"/>
              </w:rPr>
              <w:t xml:space="preserve">He </w:t>
            </w:r>
            <w:r w:rsidR="00FF347E">
              <w:rPr>
                <w:rFonts w:ascii="Verdana" w:hAnsi="Verdana"/>
              </w:rPr>
              <w:t>thanked</w:t>
            </w:r>
            <w:r>
              <w:rPr>
                <w:rFonts w:ascii="Verdana" w:hAnsi="Verdana"/>
              </w:rPr>
              <w:t xml:space="preserve"> Farhana Juhera for her assistance in ensuring the effective operation of the DBS clearance system for governors.</w:t>
            </w:r>
          </w:p>
          <w:p w14:paraId="4AC9E18D" w14:textId="757E21F9" w:rsidR="00FF347E" w:rsidRPr="00F85641" w:rsidRDefault="00FF347E" w:rsidP="006827D2">
            <w:pPr>
              <w:rPr>
                <w:rFonts w:ascii="Verdana" w:hAnsi="Verdana"/>
                <w:b/>
              </w:rPr>
            </w:pPr>
          </w:p>
        </w:tc>
      </w:tr>
      <w:tr w:rsidR="006827D2" w:rsidRPr="00F85641" w14:paraId="2F15C8D6" w14:textId="77777777" w:rsidTr="00876574">
        <w:tc>
          <w:tcPr>
            <w:tcW w:w="529" w:type="dxa"/>
            <w:shd w:val="clear" w:color="auto" w:fill="auto"/>
            <w:tcMar>
              <w:top w:w="0" w:type="dxa"/>
              <w:left w:w="108" w:type="dxa"/>
              <w:bottom w:w="0" w:type="dxa"/>
              <w:right w:w="108" w:type="dxa"/>
            </w:tcMar>
          </w:tcPr>
          <w:p w14:paraId="24C969AB" w14:textId="020B519B" w:rsidR="006827D2" w:rsidRPr="00F85641" w:rsidRDefault="006827D2" w:rsidP="006827D2">
            <w:pPr>
              <w:pStyle w:val="NoSpacing"/>
              <w:rPr>
                <w:b/>
              </w:rPr>
            </w:pPr>
            <w:r w:rsidRPr="00F85641">
              <w:rPr>
                <w:b/>
              </w:rPr>
              <w:t>1</w:t>
            </w:r>
            <w:r w:rsidR="00BE4911">
              <w:rPr>
                <w:b/>
              </w:rPr>
              <w:t>2</w:t>
            </w:r>
          </w:p>
        </w:tc>
        <w:tc>
          <w:tcPr>
            <w:tcW w:w="8935" w:type="dxa"/>
            <w:shd w:val="clear" w:color="auto" w:fill="auto"/>
            <w:tcMar>
              <w:top w:w="0" w:type="dxa"/>
              <w:left w:w="108" w:type="dxa"/>
              <w:bottom w:w="0" w:type="dxa"/>
              <w:right w:w="108" w:type="dxa"/>
            </w:tcMar>
          </w:tcPr>
          <w:p w14:paraId="6AA36908" w14:textId="2D7F29CA" w:rsidR="00BE4911" w:rsidRDefault="00BE4911" w:rsidP="00BE4911">
            <w:pPr>
              <w:rPr>
                <w:rFonts w:ascii="Verdana" w:hAnsi="Verdana"/>
                <w:b/>
              </w:rPr>
            </w:pPr>
            <w:r>
              <w:rPr>
                <w:rFonts w:ascii="Verdana" w:hAnsi="Verdana"/>
                <w:b/>
              </w:rPr>
              <w:t xml:space="preserve">Dates and Times of Meetings </w:t>
            </w:r>
            <w:r w:rsidR="00AA2933">
              <w:rPr>
                <w:rFonts w:ascii="Verdana" w:hAnsi="Verdana"/>
                <w:b/>
              </w:rPr>
              <w:t>2020-21</w:t>
            </w:r>
          </w:p>
          <w:p w14:paraId="14ED6D0A" w14:textId="77777777" w:rsidR="006827D2" w:rsidRPr="00F85641" w:rsidRDefault="006827D2" w:rsidP="006827D2">
            <w:pPr>
              <w:rPr>
                <w:rFonts w:ascii="Verdana" w:hAnsi="Verdana"/>
                <w:b/>
              </w:rPr>
            </w:pPr>
          </w:p>
          <w:p w14:paraId="75FA3AF0" w14:textId="6B4971C3" w:rsidR="006827D2" w:rsidRDefault="006827D2" w:rsidP="006827D2">
            <w:pPr>
              <w:rPr>
                <w:rFonts w:ascii="Verdana" w:hAnsi="Verdana"/>
                <w:bCs/>
              </w:rPr>
            </w:pPr>
            <w:r w:rsidRPr="000C7CE4">
              <w:rPr>
                <w:rFonts w:ascii="Verdana" w:hAnsi="Verdana"/>
                <w:bCs/>
              </w:rPr>
              <w:t xml:space="preserve">The following </w:t>
            </w:r>
            <w:r w:rsidR="00CD65F2">
              <w:rPr>
                <w:rFonts w:ascii="Verdana" w:hAnsi="Verdana"/>
                <w:bCs/>
              </w:rPr>
              <w:t>approved</w:t>
            </w:r>
            <w:r w:rsidR="006C1EE2">
              <w:rPr>
                <w:rFonts w:ascii="Verdana" w:hAnsi="Verdana"/>
                <w:bCs/>
              </w:rPr>
              <w:t xml:space="preserve"> </w:t>
            </w:r>
            <w:r w:rsidRPr="000C7CE4">
              <w:rPr>
                <w:rFonts w:ascii="Verdana" w:hAnsi="Verdana"/>
                <w:bCs/>
              </w:rPr>
              <w:t>date</w:t>
            </w:r>
            <w:r w:rsidR="00BE4911">
              <w:rPr>
                <w:rFonts w:ascii="Verdana" w:hAnsi="Verdana"/>
                <w:bCs/>
              </w:rPr>
              <w:t>s</w:t>
            </w:r>
            <w:r w:rsidRPr="000C7CE4">
              <w:rPr>
                <w:rFonts w:ascii="Verdana" w:hAnsi="Verdana"/>
                <w:bCs/>
              </w:rPr>
              <w:t xml:space="preserve"> and time</w:t>
            </w:r>
            <w:r w:rsidR="00BE4911">
              <w:rPr>
                <w:rFonts w:ascii="Verdana" w:hAnsi="Verdana"/>
                <w:bCs/>
              </w:rPr>
              <w:t>s</w:t>
            </w:r>
            <w:r w:rsidRPr="000C7CE4">
              <w:rPr>
                <w:rFonts w:ascii="Verdana" w:hAnsi="Verdana"/>
                <w:bCs/>
              </w:rPr>
              <w:t xml:space="preserve"> were </w:t>
            </w:r>
            <w:r w:rsidR="00CD65F2">
              <w:rPr>
                <w:rFonts w:ascii="Verdana" w:hAnsi="Verdana"/>
                <w:bCs/>
              </w:rPr>
              <w:t>noted</w:t>
            </w:r>
            <w:r w:rsidRPr="000C7CE4">
              <w:rPr>
                <w:rFonts w:ascii="Verdana" w:hAnsi="Verdana"/>
                <w:bCs/>
              </w:rPr>
              <w:t>:</w:t>
            </w:r>
          </w:p>
          <w:p w14:paraId="65A7E0B5" w14:textId="74647D8E" w:rsidR="006827D2" w:rsidRDefault="006827D2" w:rsidP="006827D2">
            <w:pPr>
              <w:rPr>
                <w:rFonts w:ascii="Verdana" w:hAnsi="Verdana"/>
                <w:bCs/>
              </w:rPr>
            </w:pPr>
          </w:p>
          <w:p w14:paraId="0E45751C" w14:textId="41080BC0" w:rsidR="00AA2933" w:rsidRDefault="00AA2933" w:rsidP="00BE4911">
            <w:pPr>
              <w:pStyle w:val="NoSpacing"/>
              <w:rPr>
                <w:b/>
                <w:bCs/>
                <w:i/>
                <w:iCs/>
              </w:rPr>
            </w:pPr>
            <w:r>
              <w:rPr>
                <w:b/>
                <w:bCs/>
                <w:i/>
                <w:iCs/>
              </w:rPr>
              <w:t>Wednesday 2 December 2020 (5.30pm)</w:t>
            </w:r>
          </w:p>
          <w:p w14:paraId="09874DB5" w14:textId="0272EEF2" w:rsidR="00BE4911" w:rsidRDefault="00BE4911" w:rsidP="00BE4911">
            <w:pPr>
              <w:pStyle w:val="NoSpacing"/>
              <w:rPr>
                <w:b/>
                <w:bCs/>
                <w:i/>
                <w:iCs/>
              </w:rPr>
            </w:pPr>
            <w:r>
              <w:rPr>
                <w:b/>
                <w:bCs/>
                <w:i/>
                <w:iCs/>
              </w:rPr>
              <w:t>Monday 1 February 2021 (5.30pm)</w:t>
            </w:r>
          </w:p>
          <w:p w14:paraId="26BCC065" w14:textId="77777777" w:rsidR="00BE4911" w:rsidRPr="003F5F59" w:rsidRDefault="00BE4911" w:rsidP="00BE4911">
            <w:pPr>
              <w:pStyle w:val="NoSpacing"/>
              <w:rPr>
                <w:b/>
                <w:bCs/>
                <w:i/>
                <w:iCs/>
              </w:rPr>
            </w:pPr>
            <w:r>
              <w:rPr>
                <w:b/>
                <w:bCs/>
                <w:i/>
                <w:iCs/>
              </w:rPr>
              <w:t xml:space="preserve">Monday 7 June 2021 (5.30pm) </w:t>
            </w:r>
          </w:p>
          <w:p w14:paraId="019C101B" w14:textId="77777777" w:rsidR="006827D2" w:rsidRDefault="006827D2" w:rsidP="006827D2">
            <w:pPr>
              <w:rPr>
                <w:rFonts w:ascii="Verdana" w:hAnsi="Verdana"/>
                <w:b/>
              </w:rPr>
            </w:pPr>
          </w:p>
          <w:p w14:paraId="26739BA4" w14:textId="6B380519" w:rsidR="00FF347E" w:rsidRDefault="00FF347E" w:rsidP="00FF347E">
            <w:pPr>
              <w:rPr>
                <w:rFonts w:ascii="Verdana" w:hAnsi="Verdana"/>
              </w:rPr>
            </w:pPr>
            <w:r>
              <w:rPr>
                <w:rFonts w:ascii="Verdana" w:hAnsi="Verdana"/>
              </w:rPr>
              <w:t xml:space="preserve">For the protection of members and the College, the Autumn and Winter/Spring term meetings will be held online.  </w:t>
            </w:r>
          </w:p>
          <w:p w14:paraId="3C26B779" w14:textId="77777777" w:rsidR="00FF347E" w:rsidRDefault="00FF347E" w:rsidP="00FF347E">
            <w:pPr>
              <w:rPr>
                <w:rFonts w:ascii="Verdana" w:hAnsi="Verdana"/>
              </w:rPr>
            </w:pPr>
          </w:p>
          <w:p w14:paraId="34596F14" w14:textId="77777777" w:rsidR="00FF347E" w:rsidRDefault="00FF347E" w:rsidP="00FF347E">
            <w:pPr>
              <w:rPr>
                <w:rFonts w:ascii="Verdana" w:hAnsi="Verdana"/>
              </w:rPr>
            </w:pPr>
            <w:r>
              <w:rPr>
                <w:rFonts w:ascii="Verdana" w:hAnsi="Verdana"/>
              </w:rPr>
              <w:t>Whether subsequent meetings are held physically or online will be determined by the public health situation as it affects participants at the time.</w:t>
            </w:r>
          </w:p>
          <w:p w14:paraId="52F68F41" w14:textId="77777777" w:rsidR="00FF347E" w:rsidRDefault="00FF347E" w:rsidP="006827D2">
            <w:pPr>
              <w:rPr>
                <w:rFonts w:ascii="Verdana" w:hAnsi="Verdana"/>
                <w:b/>
              </w:rPr>
            </w:pPr>
          </w:p>
          <w:p w14:paraId="10D036E4" w14:textId="77777777" w:rsidR="00C3258E" w:rsidRDefault="00C3258E" w:rsidP="006827D2">
            <w:pPr>
              <w:rPr>
                <w:rFonts w:ascii="Verdana" w:hAnsi="Verdana"/>
                <w:b/>
              </w:rPr>
            </w:pPr>
          </w:p>
          <w:p w14:paraId="1891DE9C" w14:textId="7B8AA45B" w:rsidR="00876574" w:rsidRPr="00F85641" w:rsidRDefault="00876574" w:rsidP="006827D2">
            <w:pPr>
              <w:rPr>
                <w:rFonts w:ascii="Verdana" w:hAnsi="Verdana"/>
                <w:b/>
              </w:rPr>
            </w:pPr>
          </w:p>
        </w:tc>
      </w:tr>
      <w:tr w:rsidR="006827D2" w:rsidRPr="00F85641" w14:paraId="7192D5BC" w14:textId="77777777" w:rsidTr="00876574">
        <w:tc>
          <w:tcPr>
            <w:tcW w:w="529" w:type="dxa"/>
            <w:shd w:val="clear" w:color="auto" w:fill="auto"/>
            <w:tcMar>
              <w:top w:w="0" w:type="dxa"/>
              <w:left w:w="108" w:type="dxa"/>
              <w:bottom w:w="0" w:type="dxa"/>
              <w:right w:w="108" w:type="dxa"/>
            </w:tcMar>
          </w:tcPr>
          <w:p w14:paraId="71C67C20" w14:textId="2E3F05D5" w:rsidR="006827D2" w:rsidRPr="00F85641" w:rsidRDefault="006827D2" w:rsidP="006827D2">
            <w:pPr>
              <w:pStyle w:val="NoSpacing"/>
              <w:rPr>
                <w:b/>
              </w:rPr>
            </w:pPr>
            <w:r>
              <w:rPr>
                <w:b/>
              </w:rPr>
              <w:lastRenderedPageBreak/>
              <w:t>1</w:t>
            </w:r>
            <w:r w:rsidR="00BE4911">
              <w:rPr>
                <w:b/>
              </w:rPr>
              <w:t>3</w:t>
            </w:r>
          </w:p>
        </w:tc>
        <w:tc>
          <w:tcPr>
            <w:tcW w:w="8935" w:type="dxa"/>
            <w:shd w:val="clear" w:color="auto" w:fill="auto"/>
            <w:tcMar>
              <w:top w:w="0" w:type="dxa"/>
              <w:left w:w="108" w:type="dxa"/>
              <w:bottom w:w="0" w:type="dxa"/>
              <w:right w:w="108" w:type="dxa"/>
            </w:tcMar>
          </w:tcPr>
          <w:p w14:paraId="6694D547" w14:textId="77777777" w:rsidR="006827D2" w:rsidRPr="00F85641" w:rsidRDefault="006827D2" w:rsidP="006827D2">
            <w:pPr>
              <w:rPr>
                <w:rFonts w:ascii="Verdana" w:hAnsi="Verdana"/>
                <w:b/>
              </w:rPr>
            </w:pPr>
            <w:r w:rsidRPr="00F85641">
              <w:rPr>
                <w:rFonts w:ascii="Verdana" w:hAnsi="Verdana"/>
                <w:b/>
              </w:rPr>
              <w:t>Any Other Competent Business</w:t>
            </w:r>
          </w:p>
          <w:p w14:paraId="76C6F628" w14:textId="77777777" w:rsidR="006827D2" w:rsidRPr="00F85641" w:rsidRDefault="006827D2" w:rsidP="006827D2">
            <w:pPr>
              <w:rPr>
                <w:rFonts w:ascii="Verdana" w:hAnsi="Verdana"/>
                <w:b/>
              </w:rPr>
            </w:pPr>
          </w:p>
          <w:p w14:paraId="49DE55EA" w14:textId="77777777" w:rsidR="006827D2" w:rsidRPr="00F85641" w:rsidRDefault="006827D2" w:rsidP="006827D2">
            <w:pPr>
              <w:rPr>
                <w:rFonts w:ascii="Verdana" w:hAnsi="Verdana"/>
                <w:b/>
              </w:rPr>
            </w:pPr>
            <w:r w:rsidRPr="00F85641">
              <w:rPr>
                <w:rFonts w:ascii="Verdana" w:hAnsi="Verdana"/>
              </w:rPr>
              <w:t>None.</w:t>
            </w:r>
          </w:p>
        </w:tc>
      </w:tr>
    </w:tbl>
    <w:p w14:paraId="717DBA05" w14:textId="5886D959" w:rsidR="00880621" w:rsidRDefault="00880621" w:rsidP="00626F4B">
      <w:pPr>
        <w:rPr>
          <w:rFonts w:ascii="Verdana" w:hAnsi="Verdana"/>
        </w:rPr>
      </w:pPr>
    </w:p>
    <w:p w14:paraId="484D167B" w14:textId="50643CC8" w:rsidR="00FF347E" w:rsidRDefault="00FF347E" w:rsidP="00626F4B">
      <w:pPr>
        <w:rPr>
          <w:rFonts w:ascii="Verdana" w:hAnsi="Verdana"/>
        </w:rPr>
      </w:pPr>
    </w:p>
    <w:p w14:paraId="307CA52A" w14:textId="77777777" w:rsidR="00FF347E" w:rsidRDefault="00FF347E" w:rsidP="00626F4B">
      <w:pPr>
        <w:rPr>
          <w:rFonts w:ascii="Verdana" w:hAnsi="Verdana"/>
        </w:rPr>
      </w:pPr>
    </w:p>
    <w:p w14:paraId="598DAC61" w14:textId="433B6728" w:rsidR="0052166D" w:rsidRDefault="005104D0" w:rsidP="00626F4B">
      <w:pPr>
        <w:rPr>
          <w:rFonts w:ascii="Verdana" w:hAnsi="Verdana"/>
          <w:b/>
          <w:bCs/>
        </w:rPr>
      </w:pPr>
      <w:r w:rsidRPr="005104D0">
        <w:rPr>
          <w:rFonts w:ascii="Verdana" w:hAnsi="Verdana"/>
          <w:b/>
          <w:bCs/>
        </w:rPr>
        <w:t>List of Actions Arising from the Minute</w:t>
      </w:r>
      <w:r>
        <w:rPr>
          <w:rFonts w:ascii="Verdana" w:hAnsi="Verdana"/>
          <w:b/>
          <w:bCs/>
        </w:rPr>
        <w:t>s</w:t>
      </w:r>
    </w:p>
    <w:p w14:paraId="58F151C1" w14:textId="3CDA4C5A" w:rsidR="005104D0" w:rsidRDefault="005104D0" w:rsidP="00626F4B">
      <w:pPr>
        <w:rPr>
          <w:rFonts w:ascii="Verdana" w:hAnsi="Verdana"/>
          <w:b/>
          <w:bCs/>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19"/>
        <w:gridCol w:w="5245"/>
      </w:tblGrid>
      <w:tr w:rsidR="005104D0" w14:paraId="56FC81C0" w14:textId="77777777" w:rsidTr="00876574">
        <w:tc>
          <w:tcPr>
            <w:tcW w:w="1129" w:type="dxa"/>
          </w:tcPr>
          <w:p w14:paraId="23EDED89" w14:textId="77777777" w:rsidR="005104D0" w:rsidRDefault="005104D0" w:rsidP="00626F4B">
            <w:pPr>
              <w:rPr>
                <w:rFonts w:ascii="Verdana" w:hAnsi="Verdana"/>
                <w:i/>
                <w:iCs/>
              </w:rPr>
            </w:pPr>
            <w:r w:rsidRPr="005104D0">
              <w:rPr>
                <w:rFonts w:ascii="Verdana" w:hAnsi="Verdana"/>
                <w:i/>
                <w:iCs/>
              </w:rPr>
              <w:t>Minute No.</w:t>
            </w:r>
          </w:p>
          <w:p w14:paraId="74B77CA5" w14:textId="4CD86029" w:rsidR="00B92707" w:rsidRPr="005104D0" w:rsidRDefault="00B92707" w:rsidP="00626F4B">
            <w:pPr>
              <w:rPr>
                <w:rFonts w:ascii="Verdana" w:hAnsi="Verdana"/>
                <w:i/>
                <w:iCs/>
              </w:rPr>
            </w:pPr>
          </w:p>
        </w:tc>
        <w:tc>
          <w:tcPr>
            <w:tcW w:w="3119" w:type="dxa"/>
          </w:tcPr>
          <w:p w14:paraId="1E550BD1" w14:textId="4DDEB554" w:rsidR="005104D0" w:rsidRPr="005104D0" w:rsidRDefault="005104D0" w:rsidP="00626F4B">
            <w:pPr>
              <w:rPr>
                <w:rFonts w:ascii="Verdana" w:hAnsi="Verdana"/>
                <w:i/>
                <w:iCs/>
              </w:rPr>
            </w:pPr>
            <w:r w:rsidRPr="005104D0">
              <w:rPr>
                <w:rFonts w:ascii="Verdana" w:hAnsi="Verdana"/>
                <w:i/>
                <w:iCs/>
              </w:rPr>
              <w:t>Person</w:t>
            </w:r>
            <w:r w:rsidR="007A1C33">
              <w:rPr>
                <w:rFonts w:ascii="Verdana" w:hAnsi="Verdana"/>
                <w:i/>
                <w:iCs/>
              </w:rPr>
              <w:t>(s)</w:t>
            </w:r>
            <w:r w:rsidRPr="005104D0">
              <w:rPr>
                <w:rFonts w:ascii="Verdana" w:hAnsi="Verdana"/>
                <w:i/>
                <w:iCs/>
              </w:rPr>
              <w:t xml:space="preserve"> Responsible</w:t>
            </w:r>
          </w:p>
          <w:p w14:paraId="3E35ACD2" w14:textId="55D9C485" w:rsidR="005104D0" w:rsidRPr="005104D0" w:rsidRDefault="005104D0" w:rsidP="00626F4B">
            <w:pPr>
              <w:rPr>
                <w:rFonts w:ascii="Verdana" w:hAnsi="Verdana"/>
                <w:i/>
                <w:iCs/>
              </w:rPr>
            </w:pPr>
          </w:p>
        </w:tc>
        <w:tc>
          <w:tcPr>
            <w:tcW w:w="5245" w:type="dxa"/>
          </w:tcPr>
          <w:p w14:paraId="2C33B6E7" w14:textId="772EE629" w:rsidR="005104D0" w:rsidRPr="005104D0" w:rsidRDefault="005104D0" w:rsidP="00626F4B">
            <w:pPr>
              <w:rPr>
                <w:rFonts w:ascii="Verdana" w:hAnsi="Verdana"/>
                <w:i/>
                <w:iCs/>
              </w:rPr>
            </w:pPr>
            <w:r w:rsidRPr="005104D0">
              <w:rPr>
                <w:rFonts w:ascii="Verdana" w:hAnsi="Verdana"/>
                <w:i/>
                <w:iCs/>
              </w:rPr>
              <w:t>Action Required</w:t>
            </w:r>
          </w:p>
        </w:tc>
      </w:tr>
      <w:tr w:rsidR="005104D0" w14:paraId="244B0090" w14:textId="77777777" w:rsidTr="00876574">
        <w:tc>
          <w:tcPr>
            <w:tcW w:w="1129" w:type="dxa"/>
          </w:tcPr>
          <w:p w14:paraId="300A87AE" w14:textId="79660358" w:rsidR="005104D0" w:rsidRDefault="007A1C33" w:rsidP="00626F4B">
            <w:pPr>
              <w:rPr>
                <w:rFonts w:ascii="Verdana" w:hAnsi="Verdana"/>
                <w:b/>
                <w:bCs/>
              </w:rPr>
            </w:pPr>
            <w:r>
              <w:rPr>
                <w:rFonts w:ascii="Verdana" w:hAnsi="Verdana"/>
                <w:b/>
                <w:bCs/>
              </w:rPr>
              <w:t>6</w:t>
            </w:r>
          </w:p>
        </w:tc>
        <w:tc>
          <w:tcPr>
            <w:tcW w:w="3119" w:type="dxa"/>
          </w:tcPr>
          <w:p w14:paraId="7C3E2ECD" w14:textId="77777777" w:rsidR="0014062C" w:rsidRDefault="007A1C33" w:rsidP="00626F4B">
            <w:pPr>
              <w:rPr>
                <w:rFonts w:ascii="Verdana" w:hAnsi="Verdana"/>
              </w:rPr>
            </w:pPr>
            <w:r>
              <w:rPr>
                <w:rFonts w:ascii="Verdana" w:hAnsi="Verdana"/>
              </w:rPr>
              <w:t xml:space="preserve">Vice-Principal: </w:t>
            </w:r>
            <w:r w:rsidRPr="00FE7EDC">
              <w:rPr>
                <w:rFonts w:ascii="Verdana" w:hAnsi="Verdana"/>
              </w:rPr>
              <w:t>Student S</w:t>
            </w:r>
            <w:r>
              <w:rPr>
                <w:rFonts w:ascii="Verdana" w:hAnsi="Verdana"/>
              </w:rPr>
              <w:t>ervices and Recruitment</w:t>
            </w:r>
          </w:p>
          <w:p w14:paraId="3FB3227D" w14:textId="77777777" w:rsidR="007A1C33" w:rsidRDefault="007A1C33" w:rsidP="00626F4B">
            <w:pPr>
              <w:rPr>
                <w:rFonts w:ascii="Verdana" w:hAnsi="Verdana"/>
              </w:rPr>
            </w:pPr>
          </w:p>
          <w:p w14:paraId="4830B321" w14:textId="77777777" w:rsidR="007A1C33" w:rsidRDefault="007A1C33" w:rsidP="00626F4B">
            <w:pPr>
              <w:rPr>
                <w:rFonts w:ascii="Verdana" w:hAnsi="Verdana"/>
              </w:rPr>
            </w:pPr>
          </w:p>
          <w:p w14:paraId="425735A3" w14:textId="77777777" w:rsidR="007A1C33" w:rsidRDefault="007A1C33" w:rsidP="00626F4B">
            <w:pPr>
              <w:rPr>
                <w:rFonts w:ascii="Verdana" w:hAnsi="Verdana"/>
              </w:rPr>
            </w:pPr>
          </w:p>
          <w:p w14:paraId="05FC38E5" w14:textId="77777777" w:rsidR="007A1C33" w:rsidRDefault="007A1C33" w:rsidP="00626F4B">
            <w:pPr>
              <w:rPr>
                <w:rFonts w:ascii="Verdana" w:hAnsi="Verdana"/>
              </w:rPr>
            </w:pPr>
          </w:p>
          <w:p w14:paraId="29187C6E" w14:textId="77777777" w:rsidR="007A1C33" w:rsidRDefault="007A1C33" w:rsidP="00626F4B">
            <w:pPr>
              <w:rPr>
                <w:rFonts w:ascii="Verdana" w:hAnsi="Verdana"/>
              </w:rPr>
            </w:pPr>
          </w:p>
          <w:p w14:paraId="27097741" w14:textId="77777777" w:rsidR="007A1C33" w:rsidRDefault="007A1C33" w:rsidP="00626F4B">
            <w:pPr>
              <w:rPr>
                <w:rFonts w:ascii="Verdana" w:hAnsi="Verdana"/>
              </w:rPr>
            </w:pPr>
          </w:p>
          <w:p w14:paraId="38BBC12D" w14:textId="77777777" w:rsidR="007A1C33" w:rsidRDefault="007A1C33" w:rsidP="00626F4B">
            <w:pPr>
              <w:rPr>
                <w:rFonts w:ascii="Verdana" w:hAnsi="Verdana"/>
              </w:rPr>
            </w:pPr>
          </w:p>
          <w:p w14:paraId="0FEDA8B9" w14:textId="77777777" w:rsidR="007A1C33" w:rsidRDefault="007A1C33" w:rsidP="00626F4B">
            <w:pPr>
              <w:rPr>
                <w:rFonts w:ascii="Verdana" w:hAnsi="Verdana"/>
              </w:rPr>
            </w:pPr>
            <w:r>
              <w:rPr>
                <w:rFonts w:ascii="Verdana" w:hAnsi="Verdana"/>
              </w:rPr>
              <w:t>Chair of the External Relations Committee</w:t>
            </w:r>
          </w:p>
          <w:p w14:paraId="49175CE2" w14:textId="77777777" w:rsidR="007A1C33" w:rsidRDefault="007A1C33" w:rsidP="00626F4B">
            <w:pPr>
              <w:rPr>
                <w:rFonts w:ascii="Verdana" w:hAnsi="Verdana"/>
              </w:rPr>
            </w:pPr>
          </w:p>
          <w:p w14:paraId="2F0FB7D0" w14:textId="77777777" w:rsidR="007A1C33" w:rsidRDefault="007A1C33" w:rsidP="00626F4B">
            <w:pPr>
              <w:rPr>
                <w:rFonts w:ascii="Verdana" w:hAnsi="Verdana"/>
              </w:rPr>
            </w:pPr>
          </w:p>
          <w:p w14:paraId="16F99BBC" w14:textId="77777777" w:rsidR="007A1C33" w:rsidRDefault="007A1C33" w:rsidP="00626F4B">
            <w:pPr>
              <w:rPr>
                <w:rFonts w:ascii="Verdana" w:hAnsi="Verdana"/>
              </w:rPr>
            </w:pPr>
          </w:p>
          <w:p w14:paraId="0133ABD9" w14:textId="77777777" w:rsidR="007A1C33" w:rsidRDefault="007A1C33" w:rsidP="00626F4B">
            <w:pPr>
              <w:rPr>
                <w:rFonts w:ascii="Verdana" w:hAnsi="Verdana"/>
              </w:rPr>
            </w:pPr>
          </w:p>
          <w:p w14:paraId="1F03EB64" w14:textId="34393CCA" w:rsidR="007A1C33" w:rsidRPr="0088276C" w:rsidRDefault="007A1C33" w:rsidP="00626F4B">
            <w:pPr>
              <w:rPr>
                <w:rFonts w:ascii="Verdana" w:hAnsi="Verdana"/>
              </w:rPr>
            </w:pPr>
            <w:r>
              <w:rPr>
                <w:rFonts w:ascii="Verdana" w:hAnsi="Verdana"/>
              </w:rPr>
              <w:t>Clerk to the Corporation</w:t>
            </w:r>
          </w:p>
        </w:tc>
        <w:tc>
          <w:tcPr>
            <w:tcW w:w="5245" w:type="dxa"/>
          </w:tcPr>
          <w:p w14:paraId="21101A0B" w14:textId="77777777" w:rsidR="007A1C33" w:rsidRDefault="007A1C33" w:rsidP="00626F4B">
            <w:pPr>
              <w:rPr>
                <w:rFonts w:ascii="Verdana" w:hAnsi="Verdana"/>
              </w:rPr>
            </w:pPr>
            <w:r>
              <w:rPr>
                <w:rFonts w:ascii="Verdana" w:hAnsi="Verdana"/>
              </w:rPr>
              <w:t>Propose to the Chair of the External Relations Committee t</w:t>
            </w:r>
            <w:r w:rsidR="006234EE" w:rsidRPr="006234EE">
              <w:rPr>
                <w:rFonts w:ascii="Verdana" w:hAnsi="Verdana"/>
              </w:rPr>
              <w:t>he number of 2021 student enrolments to be advised to the Resources Committee as a basis for financial planning in 2021-22 after the census date has passed in good time for the Resources Committee to have it at their disposal at the meeting to be held on 30 November 2020</w:t>
            </w:r>
            <w:r>
              <w:rPr>
                <w:rFonts w:ascii="Verdana" w:hAnsi="Verdana"/>
              </w:rPr>
              <w:t>.</w:t>
            </w:r>
          </w:p>
          <w:p w14:paraId="546978B1" w14:textId="77777777" w:rsidR="007A1C33" w:rsidRDefault="007A1C33" w:rsidP="00626F4B">
            <w:pPr>
              <w:rPr>
                <w:rFonts w:ascii="Verdana" w:hAnsi="Verdana"/>
              </w:rPr>
            </w:pPr>
          </w:p>
          <w:p w14:paraId="0D0A6E50" w14:textId="77777777" w:rsidR="0014062C" w:rsidRDefault="007A1C33" w:rsidP="00626F4B">
            <w:pPr>
              <w:rPr>
                <w:rFonts w:ascii="Verdana" w:hAnsi="Verdana"/>
              </w:rPr>
            </w:pPr>
            <w:r>
              <w:rPr>
                <w:rFonts w:ascii="Verdana" w:hAnsi="Verdana"/>
              </w:rPr>
              <w:t>I</w:t>
            </w:r>
            <w:r w:rsidR="006234EE" w:rsidRPr="006234EE">
              <w:rPr>
                <w:rFonts w:ascii="Verdana" w:hAnsi="Verdana"/>
              </w:rPr>
              <w:t xml:space="preserve">f he thinks fit, approve </w:t>
            </w:r>
            <w:r>
              <w:rPr>
                <w:rFonts w:ascii="Verdana" w:hAnsi="Verdana"/>
              </w:rPr>
              <w:t>the said number</w:t>
            </w:r>
            <w:r w:rsidR="006234EE" w:rsidRPr="006234EE">
              <w:rPr>
                <w:rFonts w:ascii="Verdana" w:hAnsi="Verdana"/>
              </w:rPr>
              <w:t xml:space="preserve"> under the provisions set out in Bye Law 2.1.3.6 of the Corporation prescribing Committee Chair’s Action</w:t>
            </w:r>
            <w:r>
              <w:rPr>
                <w:rFonts w:ascii="Verdana" w:hAnsi="Verdana"/>
              </w:rPr>
              <w:t>, and advise the Clerk to the Corporation accordingly.</w:t>
            </w:r>
          </w:p>
          <w:p w14:paraId="22F86745" w14:textId="77777777" w:rsidR="007A1C33" w:rsidRDefault="007A1C33" w:rsidP="00626F4B">
            <w:pPr>
              <w:rPr>
                <w:rFonts w:ascii="Verdana" w:hAnsi="Verdana"/>
              </w:rPr>
            </w:pPr>
          </w:p>
          <w:p w14:paraId="5D3C7741" w14:textId="77777777" w:rsidR="007A1C33" w:rsidRDefault="007A1C33" w:rsidP="00626F4B">
            <w:pPr>
              <w:rPr>
                <w:rFonts w:ascii="Verdana" w:hAnsi="Verdana"/>
              </w:rPr>
            </w:pPr>
            <w:r>
              <w:rPr>
                <w:rFonts w:ascii="Verdana" w:hAnsi="Verdana"/>
              </w:rPr>
              <w:t>Advise the said number to the Chair of the Resources Committee, and at the meeting.</w:t>
            </w:r>
          </w:p>
          <w:p w14:paraId="746A123F" w14:textId="088B25F9" w:rsidR="007A1C33" w:rsidRPr="006234EE" w:rsidRDefault="007A1C33" w:rsidP="00626F4B">
            <w:pPr>
              <w:rPr>
                <w:rFonts w:ascii="Verdana" w:hAnsi="Verdana"/>
              </w:rPr>
            </w:pPr>
          </w:p>
        </w:tc>
      </w:tr>
      <w:tr w:rsidR="005A1072" w14:paraId="2ECCC748" w14:textId="77777777" w:rsidTr="00876574">
        <w:tc>
          <w:tcPr>
            <w:tcW w:w="1129" w:type="dxa"/>
          </w:tcPr>
          <w:p w14:paraId="21441621" w14:textId="25B1B8EA" w:rsidR="005A1072" w:rsidRDefault="00F05C95" w:rsidP="00626F4B">
            <w:pPr>
              <w:rPr>
                <w:rFonts w:ascii="Verdana" w:hAnsi="Verdana"/>
                <w:b/>
                <w:bCs/>
              </w:rPr>
            </w:pPr>
            <w:r>
              <w:rPr>
                <w:rFonts w:ascii="Verdana" w:hAnsi="Verdana"/>
                <w:b/>
                <w:bCs/>
              </w:rPr>
              <w:t>7</w:t>
            </w:r>
          </w:p>
        </w:tc>
        <w:tc>
          <w:tcPr>
            <w:tcW w:w="3119" w:type="dxa"/>
          </w:tcPr>
          <w:p w14:paraId="3A328741" w14:textId="77777777" w:rsidR="00F05C95" w:rsidRDefault="00F05C95" w:rsidP="00F05C95">
            <w:pPr>
              <w:rPr>
                <w:rFonts w:ascii="Verdana" w:hAnsi="Verdana"/>
              </w:rPr>
            </w:pPr>
            <w:r>
              <w:rPr>
                <w:rFonts w:ascii="Verdana" w:hAnsi="Verdana"/>
              </w:rPr>
              <w:t xml:space="preserve">Vice-Principal: </w:t>
            </w:r>
            <w:r w:rsidRPr="00FE7EDC">
              <w:rPr>
                <w:rFonts w:ascii="Verdana" w:hAnsi="Verdana"/>
              </w:rPr>
              <w:t>Student S</w:t>
            </w:r>
            <w:r>
              <w:rPr>
                <w:rFonts w:ascii="Verdana" w:hAnsi="Verdana"/>
              </w:rPr>
              <w:t>ervices and Recruitment</w:t>
            </w:r>
          </w:p>
          <w:p w14:paraId="4C11A6E9" w14:textId="2EB43F31" w:rsidR="005A1072" w:rsidRPr="0088276C" w:rsidRDefault="005A1072" w:rsidP="00626F4B">
            <w:pPr>
              <w:rPr>
                <w:rFonts w:ascii="Verdana" w:hAnsi="Verdana"/>
              </w:rPr>
            </w:pPr>
          </w:p>
        </w:tc>
        <w:tc>
          <w:tcPr>
            <w:tcW w:w="5245" w:type="dxa"/>
          </w:tcPr>
          <w:p w14:paraId="53D253DA" w14:textId="77777777" w:rsidR="00876574" w:rsidRDefault="00F05C95" w:rsidP="00626F4B">
            <w:pPr>
              <w:rPr>
                <w:rFonts w:ascii="Verdana" w:hAnsi="Verdana"/>
              </w:rPr>
            </w:pPr>
            <w:r>
              <w:rPr>
                <w:rFonts w:ascii="Verdana" w:hAnsi="Verdana"/>
              </w:rPr>
              <w:t>Re-instate the existing KPI for work experience alongside the new KPI</w:t>
            </w:r>
            <w:r w:rsidR="00876574">
              <w:rPr>
                <w:rFonts w:ascii="Verdana" w:hAnsi="Verdana"/>
              </w:rPr>
              <w:t xml:space="preserve"> in this regard</w:t>
            </w:r>
            <w:r>
              <w:rPr>
                <w:rFonts w:ascii="Verdana" w:hAnsi="Verdana"/>
              </w:rPr>
              <w:t>.</w:t>
            </w:r>
          </w:p>
          <w:p w14:paraId="5C3D17F4" w14:textId="30875B9D" w:rsidR="005A1072" w:rsidRPr="0088276C" w:rsidRDefault="00F05C95" w:rsidP="00626F4B">
            <w:pPr>
              <w:rPr>
                <w:rFonts w:ascii="Verdana" w:hAnsi="Verdana"/>
              </w:rPr>
            </w:pPr>
            <w:r>
              <w:rPr>
                <w:rFonts w:ascii="Verdana" w:hAnsi="Verdana"/>
              </w:rPr>
              <w:t xml:space="preserve"> </w:t>
            </w:r>
          </w:p>
        </w:tc>
      </w:tr>
      <w:tr w:rsidR="006C1EE2" w14:paraId="43C44957" w14:textId="77777777" w:rsidTr="00876574">
        <w:tc>
          <w:tcPr>
            <w:tcW w:w="1129" w:type="dxa"/>
          </w:tcPr>
          <w:p w14:paraId="7478E44F" w14:textId="1D3B6F02" w:rsidR="006C1EE2" w:rsidRDefault="00F05C95" w:rsidP="00626F4B">
            <w:pPr>
              <w:rPr>
                <w:rFonts w:ascii="Verdana" w:hAnsi="Verdana"/>
                <w:b/>
                <w:bCs/>
              </w:rPr>
            </w:pPr>
            <w:r>
              <w:rPr>
                <w:rFonts w:ascii="Verdana" w:hAnsi="Verdana"/>
                <w:b/>
                <w:bCs/>
              </w:rPr>
              <w:t>8</w:t>
            </w:r>
          </w:p>
        </w:tc>
        <w:tc>
          <w:tcPr>
            <w:tcW w:w="3119" w:type="dxa"/>
          </w:tcPr>
          <w:p w14:paraId="0567612A" w14:textId="77777777" w:rsidR="00F05C95" w:rsidRDefault="00F05C95" w:rsidP="00F05C95">
            <w:pPr>
              <w:rPr>
                <w:rFonts w:ascii="Verdana" w:hAnsi="Verdana"/>
              </w:rPr>
            </w:pPr>
            <w:r>
              <w:rPr>
                <w:rFonts w:ascii="Verdana" w:hAnsi="Verdana"/>
              </w:rPr>
              <w:t xml:space="preserve">Vice-Principal: </w:t>
            </w:r>
            <w:r w:rsidRPr="00FE7EDC">
              <w:rPr>
                <w:rFonts w:ascii="Verdana" w:hAnsi="Verdana"/>
              </w:rPr>
              <w:t>Student S</w:t>
            </w:r>
            <w:r>
              <w:rPr>
                <w:rFonts w:ascii="Verdana" w:hAnsi="Verdana"/>
              </w:rPr>
              <w:t>ervices and Recruitment</w:t>
            </w:r>
          </w:p>
          <w:p w14:paraId="5CDBA26F" w14:textId="797E16AD" w:rsidR="000F016E" w:rsidRPr="0088276C" w:rsidRDefault="000F016E" w:rsidP="00626F4B">
            <w:pPr>
              <w:rPr>
                <w:rFonts w:ascii="Verdana" w:hAnsi="Verdana"/>
              </w:rPr>
            </w:pPr>
          </w:p>
        </w:tc>
        <w:tc>
          <w:tcPr>
            <w:tcW w:w="5245" w:type="dxa"/>
          </w:tcPr>
          <w:p w14:paraId="70F3605A" w14:textId="763A3063" w:rsidR="006C1EE2" w:rsidRPr="0088276C" w:rsidRDefault="00F05C95" w:rsidP="00626F4B">
            <w:pPr>
              <w:rPr>
                <w:rFonts w:ascii="Verdana" w:hAnsi="Verdana"/>
              </w:rPr>
            </w:pPr>
            <w:r>
              <w:rPr>
                <w:rFonts w:ascii="Verdana" w:hAnsi="Verdana"/>
              </w:rPr>
              <w:t>Apply targets of 80% to both work experience KPIs.</w:t>
            </w:r>
          </w:p>
        </w:tc>
      </w:tr>
      <w:tr w:rsidR="006C1EE2" w14:paraId="39E4F9A7" w14:textId="77777777" w:rsidTr="00876574">
        <w:tc>
          <w:tcPr>
            <w:tcW w:w="1129" w:type="dxa"/>
          </w:tcPr>
          <w:p w14:paraId="5961BD91" w14:textId="51B98563" w:rsidR="006C1EE2" w:rsidRDefault="00FF347E" w:rsidP="00626F4B">
            <w:pPr>
              <w:rPr>
                <w:rFonts w:ascii="Verdana" w:hAnsi="Verdana"/>
                <w:b/>
                <w:bCs/>
              </w:rPr>
            </w:pPr>
            <w:r>
              <w:rPr>
                <w:rFonts w:ascii="Verdana" w:hAnsi="Verdana"/>
                <w:b/>
                <w:bCs/>
              </w:rPr>
              <w:t>9</w:t>
            </w:r>
          </w:p>
        </w:tc>
        <w:tc>
          <w:tcPr>
            <w:tcW w:w="3119" w:type="dxa"/>
          </w:tcPr>
          <w:p w14:paraId="15B25618" w14:textId="6D0610E5" w:rsidR="000F016E" w:rsidRPr="0088276C" w:rsidRDefault="00FF347E" w:rsidP="00626F4B">
            <w:pPr>
              <w:rPr>
                <w:rFonts w:ascii="Verdana" w:hAnsi="Verdana"/>
              </w:rPr>
            </w:pPr>
            <w:r>
              <w:rPr>
                <w:rFonts w:ascii="Verdana" w:hAnsi="Verdana"/>
              </w:rPr>
              <w:t>Clerk to the Corporation</w:t>
            </w:r>
          </w:p>
        </w:tc>
        <w:tc>
          <w:tcPr>
            <w:tcW w:w="5245" w:type="dxa"/>
          </w:tcPr>
          <w:p w14:paraId="759D9834" w14:textId="3CF352F7" w:rsidR="006C1EE2" w:rsidRPr="0088276C" w:rsidRDefault="00FF347E" w:rsidP="00626F4B">
            <w:pPr>
              <w:rPr>
                <w:rFonts w:ascii="Verdana" w:hAnsi="Verdana"/>
              </w:rPr>
            </w:pPr>
            <w:r>
              <w:rPr>
                <w:rFonts w:ascii="Verdana" w:hAnsi="Verdana"/>
              </w:rPr>
              <w:t>Provide an agendum at the 1 February 2021 meeting of the Committee for reviewing the results of the December 2020 student survey.</w:t>
            </w:r>
          </w:p>
        </w:tc>
      </w:tr>
    </w:tbl>
    <w:p w14:paraId="1DB00079" w14:textId="77777777" w:rsidR="005104D0" w:rsidRPr="005104D0" w:rsidRDefault="005104D0" w:rsidP="00626F4B">
      <w:pPr>
        <w:rPr>
          <w:rFonts w:ascii="Verdana" w:hAnsi="Verdana"/>
          <w:b/>
          <w:bCs/>
        </w:rPr>
      </w:pPr>
    </w:p>
    <w:p w14:paraId="409F376E" w14:textId="371E4C88" w:rsidR="0052166D" w:rsidRPr="005104D0" w:rsidRDefault="0052166D" w:rsidP="00626F4B">
      <w:pPr>
        <w:rPr>
          <w:rFonts w:ascii="Verdana" w:hAnsi="Verdana"/>
          <w:b/>
          <w:bCs/>
        </w:rPr>
      </w:pPr>
    </w:p>
    <w:p w14:paraId="01546920" w14:textId="1E51B377" w:rsidR="0052166D" w:rsidRPr="005104D0" w:rsidRDefault="0052166D" w:rsidP="00626F4B">
      <w:pPr>
        <w:rPr>
          <w:rFonts w:ascii="Verdana" w:hAnsi="Verdana"/>
          <w:b/>
          <w:bCs/>
        </w:rPr>
      </w:pPr>
    </w:p>
    <w:p w14:paraId="553D35C9" w14:textId="284542DA" w:rsidR="0052166D" w:rsidRPr="005104D0" w:rsidRDefault="0052166D" w:rsidP="00626F4B">
      <w:pPr>
        <w:rPr>
          <w:rFonts w:ascii="Verdana" w:hAnsi="Verdana"/>
          <w:b/>
          <w:bCs/>
        </w:rPr>
      </w:pPr>
    </w:p>
    <w:p w14:paraId="04226F14" w14:textId="380C097D" w:rsidR="0052166D" w:rsidRPr="005104D0" w:rsidRDefault="0052166D" w:rsidP="00626F4B">
      <w:pPr>
        <w:rPr>
          <w:rFonts w:ascii="Verdana" w:hAnsi="Verdana"/>
          <w:b/>
          <w:bCs/>
        </w:rPr>
      </w:pPr>
    </w:p>
    <w:p w14:paraId="40D4D53B" w14:textId="40050396" w:rsidR="0052166D" w:rsidRPr="005104D0" w:rsidRDefault="0052166D" w:rsidP="00626F4B">
      <w:pPr>
        <w:rPr>
          <w:rFonts w:ascii="Verdana" w:hAnsi="Verdana"/>
          <w:b/>
          <w:bCs/>
        </w:rPr>
      </w:pPr>
    </w:p>
    <w:p w14:paraId="1B677274" w14:textId="6A9E8143" w:rsidR="0052166D" w:rsidRPr="005104D0" w:rsidRDefault="0052166D" w:rsidP="00626F4B">
      <w:pPr>
        <w:rPr>
          <w:rFonts w:ascii="Verdana" w:hAnsi="Verdana"/>
          <w:b/>
          <w:bCs/>
        </w:rPr>
      </w:pPr>
    </w:p>
    <w:p w14:paraId="5DD1DF39" w14:textId="576D7F86" w:rsidR="0052166D" w:rsidRPr="005104D0" w:rsidRDefault="0052166D" w:rsidP="00626F4B">
      <w:pPr>
        <w:rPr>
          <w:rFonts w:ascii="Verdana" w:hAnsi="Verdana"/>
          <w:b/>
          <w:bCs/>
        </w:rPr>
      </w:pPr>
    </w:p>
    <w:p w14:paraId="1EC20E26" w14:textId="15A592D0" w:rsidR="0052166D" w:rsidRPr="005104D0" w:rsidRDefault="0052166D" w:rsidP="00626F4B">
      <w:pPr>
        <w:rPr>
          <w:rFonts w:ascii="Verdana" w:hAnsi="Verdana"/>
          <w:b/>
          <w:bCs/>
        </w:rPr>
      </w:pPr>
    </w:p>
    <w:p w14:paraId="0BFDE239" w14:textId="25DC6213" w:rsidR="0052166D" w:rsidRDefault="0052166D" w:rsidP="00626F4B">
      <w:pPr>
        <w:rPr>
          <w:rFonts w:ascii="Verdana" w:hAnsi="Verdana"/>
        </w:rPr>
      </w:pPr>
    </w:p>
    <w:p w14:paraId="12AB43AE" w14:textId="4F501658" w:rsidR="0052166D" w:rsidRDefault="0052166D" w:rsidP="00626F4B">
      <w:pPr>
        <w:rPr>
          <w:rFonts w:ascii="Verdana" w:hAnsi="Verdana"/>
        </w:rPr>
      </w:pPr>
    </w:p>
    <w:p w14:paraId="4E760748" w14:textId="210242C7" w:rsidR="0052166D" w:rsidRDefault="0052166D" w:rsidP="00626F4B">
      <w:pPr>
        <w:rPr>
          <w:rFonts w:ascii="Verdana" w:hAnsi="Verdana"/>
        </w:rPr>
      </w:pPr>
    </w:p>
    <w:p w14:paraId="6EC89C2A" w14:textId="211BE93A" w:rsidR="0052166D" w:rsidRDefault="0052166D" w:rsidP="00626F4B">
      <w:pPr>
        <w:rPr>
          <w:rFonts w:ascii="Verdana" w:hAnsi="Verdana"/>
        </w:rPr>
      </w:pPr>
    </w:p>
    <w:p w14:paraId="46CF1430" w14:textId="11463F2C" w:rsidR="0052166D" w:rsidRDefault="0052166D" w:rsidP="00626F4B">
      <w:pPr>
        <w:rPr>
          <w:rFonts w:ascii="Verdana" w:hAnsi="Verdana"/>
        </w:rPr>
      </w:pPr>
    </w:p>
    <w:p w14:paraId="4EF22445" w14:textId="3A664821" w:rsidR="0052166D" w:rsidRDefault="0052166D" w:rsidP="00626F4B">
      <w:pPr>
        <w:rPr>
          <w:rFonts w:ascii="Verdana" w:hAnsi="Verdana"/>
        </w:rPr>
      </w:pPr>
    </w:p>
    <w:p w14:paraId="00E9E465" w14:textId="27EBB855" w:rsidR="0052166D" w:rsidRDefault="0052166D" w:rsidP="00626F4B">
      <w:pPr>
        <w:rPr>
          <w:rFonts w:ascii="Verdana" w:hAnsi="Verdana"/>
        </w:rPr>
      </w:pPr>
    </w:p>
    <w:p w14:paraId="190B4CDB" w14:textId="61902078" w:rsidR="0052166D" w:rsidRDefault="0052166D" w:rsidP="00626F4B">
      <w:pPr>
        <w:rPr>
          <w:rFonts w:ascii="Verdana" w:hAnsi="Verdana"/>
        </w:rPr>
      </w:pPr>
    </w:p>
    <w:p w14:paraId="713A98E9" w14:textId="700907CC" w:rsidR="0052166D" w:rsidRDefault="0052166D" w:rsidP="00626F4B">
      <w:pPr>
        <w:rPr>
          <w:rFonts w:ascii="Verdana" w:hAnsi="Verdana"/>
        </w:rPr>
      </w:pPr>
    </w:p>
    <w:p w14:paraId="257CFF58" w14:textId="475C8B8A" w:rsidR="0052166D" w:rsidRDefault="0052166D" w:rsidP="00626F4B">
      <w:pPr>
        <w:rPr>
          <w:rFonts w:ascii="Verdana" w:hAnsi="Verdana"/>
        </w:rPr>
      </w:pPr>
    </w:p>
    <w:p w14:paraId="0C40399E" w14:textId="77777777" w:rsidR="0052166D" w:rsidRPr="00413682" w:rsidRDefault="0052166D" w:rsidP="00626F4B">
      <w:pPr>
        <w:rPr>
          <w:rFonts w:ascii="Verdana" w:hAnsi="Verdana"/>
        </w:rPr>
      </w:pPr>
    </w:p>
    <w:p w14:paraId="26DF08E3" w14:textId="77777777" w:rsidR="00785164" w:rsidRPr="005D6214" w:rsidRDefault="00785164" w:rsidP="00626F4B">
      <w:pPr>
        <w:rPr>
          <w:color w:val="FF0000"/>
        </w:rPr>
      </w:pPr>
    </w:p>
    <w:sectPr w:rsidR="00785164" w:rsidRPr="005D62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47F1" w14:textId="77777777" w:rsidR="00876574" w:rsidRDefault="00876574" w:rsidP="007F3C4E">
      <w:r>
        <w:separator/>
      </w:r>
    </w:p>
  </w:endnote>
  <w:endnote w:type="continuationSeparator" w:id="0">
    <w:p w14:paraId="6E23EACC" w14:textId="77777777" w:rsidR="00876574" w:rsidRDefault="00876574" w:rsidP="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9F4D4" w14:textId="77777777" w:rsidR="00876574" w:rsidRDefault="00876574" w:rsidP="007F3C4E">
      <w:r>
        <w:separator/>
      </w:r>
    </w:p>
  </w:footnote>
  <w:footnote w:type="continuationSeparator" w:id="0">
    <w:p w14:paraId="758EC391" w14:textId="77777777" w:rsidR="00876574" w:rsidRDefault="00876574" w:rsidP="007F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5557"/>
    <w:multiLevelType w:val="hybridMultilevel"/>
    <w:tmpl w:val="4262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F7B6A"/>
    <w:multiLevelType w:val="hybridMultilevel"/>
    <w:tmpl w:val="73FCF0CA"/>
    <w:lvl w:ilvl="0" w:tplc="08090001">
      <w:start w:val="1"/>
      <w:numFmt w:val="bullet"/>
      <w:lvlText w:val=""/>
      <w:lvlJc w:val="left"/>
      <w:pPr>
        <w:ind w:left="720" w:hanging="360"/>
      </w:pPr>
      <w:rPr>
        <w:rFonts w:ascii="Symbol" w:hAnsi="Symbol" w:hint="default"/>
      </w:rPr>
    </w:lvl>
    <w:lvl w:ilvl="1" w:tplc="37B0AD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377A5"/>
    <w:multiLevelType w:val="hybridMultilevel"/>
    <w:tmpl w:val="3D7AF512"/>
    <w:lvl w:ilvl="0" w:tplc="6FBE357E">
      <w:start w:val="1"/>
      <w:numFmt w:val="bullet"/>
      <w:lvlText w:val="•"/>
      <w:lvlJc w:val="left"/>
      <w:pPr>
        <w:tabs>
          <w:tab w:val="num" w:pos="720"/>
        </w:tabs>
        <w:ind w:left="720" w:hanging="360"/>
      </w:pPr>
      <w:rPr>
        <w:rFonts w:ascii="Arial" w:hAnsi="Arial" w:hint="default"/>
      </w:rPr>
    </w:lvl>
    <w:lvl w:ilvl="1" w:tplc="A5588E90" w:tentative="1">
      <w:start w:val="1"/>
      <w:numFmt w:val="bullet"/>
      <w:lvlText w:val="•"/>
      <w:lvlJc w:val="left"/>
      <w:pPr>
        <w:tabs>
          <w:tab w:val="num" w:pos="1440"/>
        </w:tabs>
        <w:ind w:left="1440" w:hanging="360"/>
      </w:pPr>
      <w:rPr>
        <w:rFonts w:ascii="Arial" w:hAnsi="Arial" w:hint="default"/>
      </w:rPr>
    </w:lvl>
    <w:lvl w:ilvl="2" w:tplc="BC44F050" w:tentative="1">
      <w:start w:val="1"/>
      <w:numFmt w:val="bullet"/>
      <w:lvlText w:val="•"/>
      <w:lvlJc w:val="left"/>
      <w:pPr>
        <w:tabs>
          <w:tab w:val="num" w:pos="2160"/>
        </w:tabs>
        <w:ind w:left="2160" w:hanging="360"/>
      </w:pPr>
      <w:rPr>
        <w:rFonts w:ascii="Arial" w:hAnsi="Arial" w:hint="default"/>
      </w:rPr>
    </w:lvl>
    <w:lvl w:ilvl="3" w:tplc="C8FAB984" w:tentative="1">
      <w:start w:val="1"/>
      <w:numFmt w:val="bullet"/>
      <w:lvlText w:val="•"/>
      <w:lvlJc w:val="left"/>
      <w:pPr>
        <w:tabs>
          <w:tab w:val="num" w:pos="2880"/>
        </w:tabs>
        <w:ind w:left="2880" w:hanging="360"/>
      </w:pPr>
      <w:rPr>
        <w:rFonts w:ascii="Arial" w:hAnsi="Arial" w:hint="default"/>
      </w:rPr>
    </w:lvl>
    <w:lvl w:ilvl="4" w:tplc="AA425058" w:tentative="1">
      <w:start w:val="1"/>
      <w:numFmt w:val="bullet"/>
      <w:lvlText w:val="•"/>
      <w:lvlJc w:val="left"/>
      <w:pPr>
        <w:tabs>
          <w:tab w:val="num" w:pos="3600"/>
        </w:tabs>
        <w:ind w:left="3600" w:hanging="360"/>
      </w:pPr>
      <w:rPr>
        <w:rFonts w:ascii="Arial" w:hAnsi="Arial" w:hint="default"/>
      </w:rPr>
    </w:lvl>
    <w:lvl w:ilvl="5" w:tplc="BA060082" w:tentative="1">
      <w:start w:val="1"/>
      <w:numFmt w:val="bullet"/>
      <w:lvlText w:val="•"/>
      <w:lvlJc w:val="left"/>
      <w:pPr>
        <w:tabs>
          <w:tab w:val="num" w:pos="4320"/>
        </w:tabs>
        <w:ind w:left="4320" w:hanging="360"/>
      </w:pPr>
      <w:rPr>
        <w:rFonts w:ascii="Arial" w:hAnsi="Arial" w:hint="default"/>
      </w:rPr>
    </w:lvl>
    <w:lvl w:ilvl="6" w:tplc="F8BABFE2" w:tentative="1">
      <w:start w:val="1"/>
      <w:numFmt w:val="bullet"/>
      <w:lvlText w:val="•"/>
      <w:lvlJc w:val="left"/>
      <w:pPr>
        <w:tabs>
          <w:tab w:val="num" w:pos="5040"/>
        </w:tabs>
        <w:ind w:left="5040" w:hanging="360"/>
      </w:pPr>
      <w:rPr>
        <w:rFonts w:ascii="Arial" w:hAnsi="Arial" w:hint="default"/>
      </w:rPr>
    </w:lvl>
    <w:lvl w:ilvl="7" w:tplc="C9DCAA82" w:tentative="1">
      <w:start w:val="1"/>
      <w:numFmt w:val="bullet"/>
      <w:lvlText w:val="•"/>
      <w:lvlJc w:val="left"/>
      <w:pPr>
        <w:tabs>
          <w:tab w:val="num" w:pos="5760"/>
        </w:tabs>
        <w:ind w:left="5760" w:hanging="360"/>
      </w:pPr>
      <w:rPr>
        <w:rFonts w:ascii="Arial" w:hAnsi="Arial" w:hint="default"/>
      </w:rPr>
    </w:lvl>
    <w:lvl w:ilvl="8" w:tplc="CB2018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B415C60"/>
    <w:multiLevelType w:val="hybridMultilevel"/>
    <w:tmpl w:val="847A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6E281A"/>
    <w:multiLevelType w:val="hybridMultilevel"/>
    <w:tmpl w:val="6CD82B9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FF"/>
    <w:rsid w:val="000008B9"/>
    <w:rsid w:val="00001B8B"/>
    <w:rsid w:val="00001B9A"/>
    <w:rsid w:val="00006F58"/>
    <w:rsid w:val="000079FB"/>
    <w:rsid w:val="0001074C"/>
    <w:rsid w:val="00010E43"/>
    <w:rsid w:val="00011177"/>
    <w:rsid w:val="00016C1E"/>
    <w:rsid w:val="0002082B"/>
    <w:rsid w:val="0002249F"/>
    <w:rsid w:val="00022708"/>
    <w:rsid w:val="000235A3"/>
    <w:rsid w:val="00023860"/>
    <w:rsid w:val="00023C8C"/>
    <w:rsid w:val="00025A1D"/>
    <w:rsid w:val="00027A98"/>
    <w:rsid w:val="00030FF0"/>
    <w:rsid w:val="000355CE"/>
    <w:rsid w:val="0003568A"/>
    <w:rsid w:val="0003666E"/>
    <w:rsid w:val="000409ED"/>
    <w:rsid w:val="00040F6C"/>
    <w:rsid w:val="00041278"/>
    <w:rsid w:val="000413AE"/>
    <w:rsid w:val="00041F13"/>
    <w:rsid w:val="0004236C"/>
    <w:rsid w:val="000439B1"/>
    <w:rsid w:val="00043C3D"/>
    <w:rsid w:val="000464F3"/>
    <w:rsid w:val="00050DA1"/>
    <w:rsid w:val="00051D3B"/>
    <w:rsid w:val="000538A7"/>
    <w:rsid w:val="000542FE"/>
    <w:rsid w:val="000549C5"/>
    <w:rsid w:val="00055918"/>
    <w:rsid w:val="000572AC"/>
    <w:rsid w:val="00060481"/>
    <w:rsid w:val="00061307"/>
    <w:rsid w:val="00062B2D"/>
    <w:rsid w:val="000658A4"/>
    <w:rsid w:val="000663D6"/>
    <w:rsid w:val="00067423"/>
    <w:rsid w:val="0007175E"/>
    <w:rsid w:val="00072368"/>
    <w:rsid w:val="000728F8"/>
    <w:rsid w:val="00074392"/>
    <w:rsid w:val="00074670"/>
    <w:rsid w:val="000762CB"/>
    <w:rsid w:val="000771DA"/>
    <w:rsid w:val="000776BC"/>
    <w:rsid w:val="00080556"/>
    <w:rsid w:val="000818EF"/>
    <w:rsid w:val="000833BA"/>
    <w:rsid w:val="00084711"/>
    <w:rsid w:val="0008521F"/>
    <w:rsid w:val="0008615F"/>
    <w:rsid w:val="0008754A"/>
    <w:rsid w:val="00091D20"/>
    <w:rsid w:val="00096A8D"/>
    <w:rsid w:val="00096C79"/>
    <w:rsid w:val="00096DC8"/>
    <w:rsid w:val="000A0701"/>
    <w:rsid w:val="000A0750"/>
    <w:rsid w:val="000A40AF"/>
    <w:rsid w:val="000A4AEA"/>
    <w:rsid w:val="000A503C"/>
    <w:rsid w:val="000A5409"/>
    <w:rsid w:val="000B1AD7"/>
    <w:rsid w:val="000B2F05"/>
    <w:rsid w:val="000B3BF7"/>
    <w:rsid w:val="000B5D20"/>
    <w:rsid w:val="000B7725"/>
    <w:rsid w:val="000B7E58"/>
    <w:rsid w:val="000B7FD0"/>
    <w:rsid w:val="000C0491"/>
    <w:rsid w:val="000C0E08"/>
    <w:rsid w:val="000C2174"/>
    <w:rsid w:val="000C27E2"/>
    <w:rsid w:val="000C2CB2"/>
    <w:rsid w:val="000C4832"/>
    <w:rsid w:val="000C5759"/>
    <w:rsid w:val="000C721F"/>
    <w:rsid w:val="000C7CE4"/>
    <w:rsid w:val="000D0296"/>
    <w:rsid w:val="000D2E82"/>
    <w:rsid w:val="000D2EC7"/>
    <w:rsid w:val="000D3370"/>
    <w:rsid w:val="000D49EA"/>
    <w:rsid w:val="000D5665"/>
    <w:rsid w:val="000E23FE"/>
    <w:rsid w:val="000E4832"/>
    <w:rsid w:val="000E5305"/>
    <w:rsid w:val="000E6026"/>
    <w:rsid w:val="000F016E"/>
    <w:rsid w:val="000F0B4E"/>
    <w:rsid w:val="000F186F"/>
    <w:rsid w:val="000F2233"/>
    <w:rsid w:val="000F7341"/>
    <w:rsid w:val="001001F9"/>
    <w:rsid w:val="0010092B"/>
    <w:rsid w:val="00101583"/>
    <w:rsid w:val="00102F53"/>
    <w:rsid w:val="001035DF"/>
    <w:rsid w:val="00103C32"/>
    <w:rsid w:val="0010420D"/>
    <w:rsid w:val="00104530"/>
    <w:rsid w:val="001121D8"/>
    <w:rsid w:val="00113C11"/>
    <w:rsid w:val="00114DF0"/>
    <w:rsid w:val="00116B45"/>
    <w:rsid w:val="00117BBC"/>
    <w:rsid w:val="00120D07"/>
    <w:rsid w:val="00120D38"/>
    <w:rsid w:val="00121091"/>
    <w:rsid w:val="00122DF5"/>
    <w:rsid w:val="00125293"/>
    <w:rsid w:val="00125900"/>
    <w:rsid w:val="00125D93"/>
    <w:rsid w:val="001300B1"/>
    <w:rsid w:val="00130C99"/>
    <w:rsid w:val="0013160C"/>
    <w:rsid w:val="0013381E"/>
    <w:rsid w:val="001340FF"/>
    <w:rsid w:val="0013514C"/>
    <w:rsid w:val="001354B0"/>
    <w:rsid w:val="00135644"/>
    <w:rsid w:val="00135B35"/>
    <w:rsid w:val="00140345"/>
    <w:rsid w:val="0014062C"/>
    <w:rsid w:val="00141E9F"/>
    <w:rsid w:val="00142260"/>
    <w:rsid w:val="00142E7A"/>
    <w:rsid w:val="001452E4"/>
    <w:rsid w:val="001467C4"/>
    <w:rsid w:val="00151062"/>
    <w:rsid w:val="00155A91"/>
    <w:rsid w:val="0015693F"/>
    <w:rsid w:val="001606FC"/>
    <w:rsid w:val="00161F2F"/>
    <w:rsid w:val="00164476"/>
    <w:rsid w:val="00165106"/>
    <w:rsid w:val="0016596D"/>
    <w:rsid w:val="00167E2A"/>
    <w:rsid w:val="0017075B"/>
    <w:rsid w:val="001720DB"/>
    <w:rsid w:val="00173E14"/>
    <w:rsid w:val="00174276"/>
    <w:rsid w:val="00175A83"/>
    <w:rsid w:val="00176B92"/>
    <w:rsid w:val="00176EC5"/>
    <w:rsid w:val="00177B2E"/>
    <w:rsid w:val="00180E6C"/>
    <w:rsid w:val="001817E2"/>
    <w:rsid w:val="0018219F"/>
    <w:rsid w:val="00184AF5"/>
    <w:rsid w:val="00187EE0"/>
    <w:rsid w:val="00194651"/>
    <w:rsid w:val="00194A07"/>
    <w:rsid w:val="00195330"/>
    <w:rsid w:val="00195361"/>
    <w:rsid w:val="001955FA"/>
    <w:rsid w:val="001959A8"/>
    <w:rsid w:val="001964AD"/>
    <w:rsid w:val="001972ED"/>
    <w:rsid w:val="00197C9C"/>
    <w:rsid w:val="001A0965"/>
    <w:rsid w:val="001A0EAA"/>
    <w:rsid w:val="001A4ECF"/>
    <w:rsid w:val="001A6445"/>
    <w:rsid w:val="001B0590"/>
    <w:rsid w:val="001B4382"/>
    <w:rsid w:val="001B5B6F"/>
    <w:rsid w:val="001B6219"/>
    <w:rsid w:val="001B717C"/>
    <w:rsid w:val="001B769E"/>
    <w:rsid w:val="001C42F6"/>
    <w:rsid w:val="001C5B5B"/>
    <w:rsid w:val="001D2067"/>
    <w:rsid w:val="001D5205"/>
    <w:rsid w:val="001D54B2"/>
    <w:rsid w:val="001E08C5"/>
    <w:rsid w:val="001E1520"/>
    <w:rsid w:val="001E44E5"/>
    <w:rsid w:val="001E492E"/>
    <w:rsid w:val="001E635C"/>
    <w:rsid w:val="001E6751"/>
    <w:rsid w:val="001E6774"/>
    <w:rsid w:val="001E7DD3"/>
    <w:rsid w:val="001F006B"/>
    <w:rsid w:val="001F1343"/>
    <w:rsid w:val="001F2372"/>
    <w:rsid w:val="001F37C4"/>
    <w:rsid w:val="001F3B4B"/>
    <w:rsid w:val="001F479C"/>
    <w:rsid w:val="001F73C8"/>
    <w:rsid w:val="002011B2"/>
    <w:rsid w:val="002014E4"/>
    <w:rsid w:val="00201552"/>
    <w:rsid w:val="002035AA"/>
    <w:rsid w:val="0020404E"/>
    <w:rsid w:val="00206792"/>
    <w:rsid w:val="002118C0"/>
    <w:rsid w:val="00211A8C"/>
    <w:rsid w:val="00215083"/>
    <w:rsid w:val="00215464"/>
    <w:rsid w:val="00215E2B"/>
    <w:rsid w:val="0022275E"/>
    <w:rsid w:val="00222DB2"/>
    <w:rsid w:val="00224246"/>
    <w:rsid w:val="002254F0"/>
    <w:rsid w:val="00235370"/>
    <w:rsid w:val="00243BE4"/>
    <w:rsid w:val="002479F9"/>
    <w:rsid w:val="002503DA"/>
    <w:rsid w:val="002517A7"/>
    <w:rsid w:val="00254504"/>
    <w:rsid w:val="00256D9C"/>
    <w:rsid w:val="00261797"/>
    <w:rsid w:val="00261E63"/>
    <w:rsid w:val="00262997"/>
    <w:rsid w:val="00262B44"/>
    <w:rsid w:val="00262C85"/>
    <w:rsid w:val="00265DBE"/>
    <w:rsid w:val="00266688"/>
    <w:rsid w:val="0027012E"/>
    <w:rsid w:val="00270349"/>
    <w:rsid w:val="00270888"/>
    <w:rsid w:val="0027127C"/>
    <w:rsid w:val="00272BBF"/>
    <w:rsid w:val="00274297"/>
    <w:rsid w:val="00274967"/>
    <w:rsid w:val="0027567C"/>
    <w:rsid w:val="00276392"/>
    <w:rsid w:val="00276781"/>
    <w:rsid w:val="00276F6A"/>
    <w:rsid w:val="002820AB"/>
    <w:rsid w:val="0028265D"/>
    <w:rsid w:val="00282787"/>
    <w:rsid w:val="002839CC"/>
    <w:rsid w:val="0028503E"/>
    <w:rsid w:val="002859CB"/>
    <w:rsid w:val="0028769A"/>
    <w:rsid w:val="00290CD5"/>
    <w:rsid w:val="0029366D"/>
    <w:rsid w:val="00293A11"/>
    <w:rsid w:val="002977BD"/>
    <w:rsid w:val="002A011D"/>
    <w:rsid w:val="002A0198"/>
    <w:rsid w:val="002A16EC"/>
    <w:rsid w:val="002A354F"/>
    <w:rsid w:val="002A4B9D"/>
    <w:rsid w:val="002A644B"/>
    <w:rsid w:val="002A64C5"/>
    <w:rsid w:val="002A7F29"/>
    <w:rsid w:val="002B03EE"/>
    <w:rsid w:val="002B18BF"/>
    <w:rsid w:val="002B2496"/>
    <w:rsid w:val="002B28D5"/>
    <w:rsid w:val="002B291A"/>
    <w:rsid w:val="002B2C67"/>
    <w:rsid w:val="002B382E"/>
    <w:rsid w:val="002B6526"/>
    <w:rsid w:val="002B77ED"/>
    <w:rsid w:val="002B7DAA"/>
    <w:rsid w:val="002B7DAF"/>
    <w:rsid w:val="002C35F6"/>
    <w:rsid w:val="002C4071"/>
    <w:rsid w:val="002C54C7"/>
    <w:rsid w:val="002C5D04"/>
    <w:rsid w:val="002C7082"/>
    <w:rsid w:val="002C7522"/>
    <w:rsid w:val="002D037E"/>
    <w:rsid w:val="002D07AD"/>
    <w:rsid w:val="002D3417"/>
    <w:rsid w:val="002D3AF5"/>
    <w:rsid w:val="002E084F"/>
    <w:rsid w:val="002E11F4"/>
    <w:rsid w:val="002E3CC1"/>
    <w:rsid w:val="002E3F49"/>
    <w:rsid w:val="002E47E5"/>
    <w:rsid w:val="002E4857"/>
    <w:rsid w:val="002E5AD0"/>
    <w:rsid w:val="002E6C07"/>
    <w:rsid w:val="002E7806"/>
    <w:rsid w:val="002E7B2D"/>
    <w:rsid w:val="002F1ECA"/>
    <w:rsid w:val="002F362E"/>
    <w:rsid w:val="002F401F"/>
    <w:rsid w:val="002F412F"/>
    <w:rsid w:val="002F41C6"/>
    <w:rsid w:val="00300F45"/>
    <w:rsid w:val="00304754"/>
    <w:rsid w:val="00304F77"/>
    <w:rsid w:val="003054D2"/>
    <w:rsid w:val="00305E25"/>
    <w:rsid w:val="00307D05"/>
    <w:rsid w:val="00310C45"/>
    <w:rsid w:val="003127D2"/>
    <w:rsid w:val="00313299"/>
    <w:rsid w:val="00314B91"/>
    <w:rsid w:val="00314DFF"/>
    <w:rsid w:val="003164FD"/>
    <w:rsid w:val="003179FB"/>
    <w:rsid w:val="003206B8"/>
    <w:rsid w:val="00320AE9"/>
    <w:rsid w:val="00320D5F"/>
    <w:rsid w:val="003229AF"/>
    <w:rsid w:val="00322DFD"/>
    <w:rsid w:val="00323158"/>
    <w:rsid w:val="00323B51"/>
    <w:rsid w:val="00323B84"/>
    <w:rsid w:val="00323DAD"/>
    <w:rsid w:val="003248F3"/>
    <w:rsid w:val="00325363"/>
    <w:rsid w:val="0032625D"/>
    <w:rsid w:val="00327AE4"/>
    <w:rsid w:val="00331281"/>
    <w:rsid w:val="00331324"/>
    <w:rsid w:val="00333F86"/>
    <w:rsid w:val="00334B5C"/>
    <w:rsid w:val="00336498"/>
    <w:rsid w:val="003416DE"/>
    <w:rsid w:val="00342ABE"/>
    <w:rsid w:val="003433DC"/>
    <w:rsid w:val="0034508E"/>
    <w:rsid w:val="00346D1D"/>
    <w:rsid w:val="00351829"/>
    <w:rsid w:val="003519F7"/>
    <w:rsid w:val="00351B4C"/>
    <w:rsid w:val="00351EE6"/>
    <w:rsid w:val="003549D7"/>
    <w:rsid w:val="00354C17"/>
    <w:rsid w:val="00355F65"/>
    <w:rsid w:val="003623B6"/>
    <w:rsid w:val="003672E3"/>
    <w:rsid w:val="00367FD5"/>
    <w:rsid w:val="00370B7E"/>
    <w:rsid w:val="00370D3D"/>
    <w:rsid w:val="003764FD"/>
    <w:rsid w:val="003768C7"/>
    <w:rsid w:val="00380EFA"/>
    <w:rsid w:val="003849EC"/>
    <w:rsid w:val="00385A1C"/>
    <w:rsid w:val="00385D3D"/>
    <w:rsid w:val="0038613D"/>
    <w:rsid w:val="00387D7F"/>
    <w:rsid w:val="00390AE7"/>
    <w:rsid w:val="00390DF1"/>
    <w:rsid w:val="00391E3C"/>
    <w:rsid w:val="00392053"/>
    <w:rsid w:val="00394B86"/>
    <w:rsid w:val="00394E1D"/>
    <w:rsid w:val="00395BD2"/>
    <w:rsid w:val="00395F77"/>
    <w:rsid w:val="00395FEF"/>
    <w:rsid w:val="003A1726"/>
    <w:rsid w:val="003A1E7E"/>
    <w:rsid w:val="003A212E"/>
    <w:rsid w:val="003A4DA9"/>
    <w:rsid w:val="003B20BE"/>
    <w:rsid w:val="003B34E2"/>
    <w:rsid w:val="003B36B6"/>
    <w:rsid w:val="003B5173"/>
    <w:rsid w:val="003B5413"/>
    <w:rsid w:val="003B7166"/>
    <w:rsid w:val="003C03CB"/>
    <w:rsid w:val="003C2D3B"/>
    <w:rsid w:val="003C41F3"/>
    <w:rsid w:val="003C49FC"/>
    <w:rsid w:val="003C7515"/>
    <w:rsid w:val="003D462A"/>
    <w:rsid w:val="003D688D"/>
    <w:rsid w:val="003D77F2"/>
    <w:rsid w:val="003E0E97"/>
    <w:rsid w:val="003E1E80"/>
    <w:rsid w:val="003E4456"/>
    <w:rsid w:val="003E44AE"/>
    <w:rsid w:val="003E5309"/>
    <w:rsid w:val="003E606A"/>
    <w:rsid w:val="003E7B79"/>
    <w:rsid w:val="003F1E63"/>
    <w:rsid w:val="003F1E6A"/>
    <w:rsid w:val="003F2039"/>
    <w:rsid w:val="003F2722"/>
    <w:rsid w:val="003F3714"/>
    <w:rsid w:val="003F3C3A"/>
    <w:rsid w:val="003F482A"/>
    <w:rsid w:val="00400C02"/>
    <w:rsid w:val="00401820"/>
    <w:rsid w:val="004020B9"/>
    <w:rsid w:val="00411D17"/>
    <w:rsid w:val="00412058"/>
    <w:rsid w:val="00412239"/>
    <w:rsid w:val="00413682"/>
    <w:rsid w:val="0041423F"/>
    <w:rsid w:val="004150BD"/>
    <w:rsid w:val="004155BA"/>
    <w:rsid w:val="00416199"/>
    <w:rsid w:val="00416D54"/>
    <w:rsid w:val="00417393"/>
    <w:rsid w:val="004175DC"/>
    <w:rsid w:val="0042118B"/>
    <w:rsid w:val="0042218C"/>
    <w:rsid w:val="00422B7C"/>
    <w:rsid w:val="00422D6B"/>
    <w:rsid w:val="004245B6"/>
    <w:rsid w:val="00424A34"/>
    <w:rsid w:val="00424F43"/>
    <w:rsid w:val="00427863"/>
    <w:rsid w:val="00431214"/>
    <w:rsid w:val="00432898"/>
    <w:rsid w:val="00432B1F"/>
    <w:rsid w:val="00432CC2"/>
    <w:rsid w:val="0043354D"/>
    <w:rsid w:val="004367B4"/>
    <w:rsid w:val="00441A61"/>
    <w:rsid w:val="004438AE"/>
    <w:rsid w:val="0045119F"/>
    <w:rsid w:val="00452073"/>
    <w:rsid w:val="004523A0"/>
    <w:rsid w:val="00453ED8"/>
    <w:rsid w:val="00460EAB"/>
    <w:rsid w:val="0046106E"/>
    <w:rsid w:val="00462F87"/>
    <w:rsid w:val="00463FA1"/>
    <w:rsid w:val="0046512D"/>
    <w:rsid w:val="0046622F"/>
    <w:rsid w:val="00466406"/>
    <w:rsid w:val="00467367"/>
    <w:rsid w:val="004708D4"/>
    <w:rsid w:val="00470F1B"/>
    <w:rsid w:val="004711A5"/>
    <w:rsid w:val="00474E14"/>
    <w:rsid w:val="00475E4B"/>
    <w:rsid w:val="0047700E"/>
    <w:rsid w:val="00481368"/>
    <w:rsid w:val="00481F27"/>
    <w:rsid w:val="004874AC"/>
    <w:rsid w:val="00490933"/>
    <w:rsid w:val="0049103B"/>
    <w:rsid w:val="004912D1"/>
    <w:rsid w:val="00491C21"/>
    <w:rsid w:val="00492C5B"/>
    <w:rsid w:val="00496E34"/>
    <w:rsid w:val="004A06CB"/>
    <w:rsid w:val="004A139B"/>
    <w:rsid w:val="004A2D58"/>
    <w:rsid w:val="004A3A92"/>
    <w:rsid w:val="004B17C8"/>
    <w:rsid w:val="004B2053"/>
    <w:rsid w:val="004B21B2"/>
    <w:rsid w:val="004B2888"/>
    <w:rsid w:val="004B6F74"/>
    <w:rsid w:val="004C0414"/>
    <w:rsid w:val="004C0884"/>
    <w:rsid w:val="004C20B0"/>
    <w:rsid w:val="004C256F"/>
    <w:rsid w:val="004C3968"/>
    <w:rsid w:val="004C3DE5"/>
    <w:rsid w:val="004C43BE"/>
    <w:rsid w:val="004C4CA9"/>
    <w:rsid w:val="004C54BA"/>
    <w:rsid w:val="004C5509"/>
    <w:rsid w:val="004C6993"/>
    <w:rsid w:val="004D25A7"/>
    <w:rsid w:val="004D2D63"/>
    <w:rsid w:val="004D37CF"/>
    <w:rsid w:val="004D3916"/>
    <w:rsid w:val="004D3B51"/>
    <w:rsid w:val="004D3EBF"/>
    <w:rsid w:val="004D59DC"/>
    <w:rsid w:val="004D686B"/>
    <w:rsid w:val="004D7AFB"/>
    <w:rsid w:val="004E2221"/>
    <w:rsid w:val="004E2260"/>
    <w:rsid w:val="004E436C"/>
    <w:rsid w:val="004E791D"/>
    <w:rsid w:val="004F4CCC"/>
    <w:rsid w:val="004F5008"/>
    <w:rsid w:val="004F59A6"/>
    <w:rsid w:val="004F5AD0"/>
    <w:rsid w:val="00500222"/>
    <w:rsid w:val="00501C8A"/>
    <w:rsid w:val="005031E5"/>
    <w:rsid w:val="00503EE3"/>
    <w:rsid w:val="00504FAF"/>
    <w:rsid w:val="00506E03"/>
    <w:rsid w:val="005104D0"/>
    <w:rsid w:val="005106CE"/>
    <w:rsid w:val="005108E8"/>
    <w:rsid w:val="005109FF"/>
    <w:rsid w:val="00511165"/>
    <w:rsid w:val="00512E4E"/>
    <w:rsid w:val="00513281"/>
    <w:rsid w:val="005145E6"/>
    <w:rsid w:val="00516716"/>
    <w:rsid w:val="005208BF"/>
    <w:rsid w:val="005209FC"/>
    <w:rsid w:val="0052166D"/>
    <w:rsid w:val="00522B74"/>
    <w:rsid w:val="00522E18"/>
    <w:rsid w:val="00524ADC"/>
    <w:rsid w:val="00525DF2"/>
    <w:rsid w:val="005316E9"/>
    <w:rsid w:val="005329F2"/>
    <w:rsid w:val="00532D61"/>
    <w:rsid w:val="005340E7"/>
    <w:rsid w:val="005363B3"/>
    <w:rsid w:val="005366A9"/>
    <w:rsid w:val="00536E87"/>
    <w:rsid w:val="00540F5B"/>
    <w:rsid w:val="00542BB6"/>
    <w:rsid w:val="00543365"/>
    <w:rsid w:val="0054337D"/>
    <w:rsid w:val="0054343F"/>
    <w:rsid w:val="00546D3F"/>
    <w:rsid w:val="00552790"/>
    <w:rsid w:val="00552B18"/>
    <w:rsid w:val="00552DBB"/>
    <w:rsid w:val="00553109"/>
    <w:rsid w:val="005539F5"/>
    <w:rsid w:val="005544B9"/>
    <w:rsid w:val="00554F2B"/>
    <w:rsid w:val="0055737C"/>
    <w:rsid w:val="005606D0"/>
    <w:rsid w:val="00561864"/>
    <w:rsid w:val="0056291E"/>
    <w:rsid w:val="0056657E"/>
    <w:rsid w:val="00567EEA"/>
    <w:rsid w:val="0057102F"/>
    <w:rsid w:val="00571655"/>
    <w:rsid w:val="00572686"/>
    <w:rsid w:val="00572ECE"/>
    <w:rsid w:val="00574570"/>
    <w:rsid w:val="00576050"/>
    <w:rsid w:val="00577028"/>
    <w:rsid w:val="00577214"/>
    <w:rsid w:val="00580410"/>
    <w:rsid w:val="00582FA9"/>
    <w:rsid w:val="0058307A"/>
    <w:rsid w:val="005842BF"/>
    <w:rsid w:val="0058437F"/>
    <w:rsid w:val="00590715"/>
    <w:rsid w:val="005913D2"/>
    <w:rsid w:val="00591A61"/>
    <w:rsid w:val="00594164"/>
    <w:rsid w:val="00594405"/>
    <w:rsid w:val="005952D0"/>
    <w:rsid w:val="0059795D"/>
    <w:rsid w:val="005A08B7"/>
    <w:rsid w:val="005A0B26"/>
    <w:rsid w:val="005A1072"/>
    <w:rsid w:val="005A18FC"/>
    <w:rsid w:val="005A28E3"/>
    <w:rsid w:val="005A592B"/>
    <w:rsid w:val="005A70D7"/>
    <w:rsid w:val="005B100F"/>
    <w:rsid w:val="005B1C47"/>
    <w:rsid w:val="005B293C"/>
    <w:rsid w:val="005B2C5B"/>
    <w:rsid w:val="005B3944"/>
    <w:rsid w:val="005B3F53"/>
    <w:rsid w:val="005B46A2"/>
    <w:rsid w:val="005B4ED0"/>
    <w:rsid w:val="005B5622"/>
    <w:rsid w:val="005C0194"/>
    <w:rsid w:val="005C0622"/>
    <w:rsid w:val="005C2314"/>
    <w:rsid w:val="005C4BED"/>
    <w:rsid w:val="005C5A12"/>
    <w:rsid w:val="005C6835"/>
    <w:rsid w:val="005D0BE5"/>
    <w:rsid w:val="005D0DA7"/>
    <w:rsid w:val="005D35E5"/>
    <w:rsid w:val="005D4527"/>
    <w:rsid w:val="005D4E34"/>
    <w:rsid w:val="005D6214"/>
    <w:rsid w:val="005E06F3"/>
    <w:rsid w:val="005E1124"/>
    <w:rsid w:val="005E1962"/>
    <w:rsid w:val="005E3A77"/>
    <w:rsid w:val="005E4F2C"/>
    <w:rsid w:val="005E5DA0"/>
    <w:rsid w:val="005F23FF"/>
    <w:rsid w:val="005F2A3F"/>
    <w:rsid w:val="005F3061"/>
    <w:rsid w:val="00600808"/>
    <w:rsid w:val="00601D3D"/>
    <w:rsid w:val="00604073"/>
    <w:rsid w:val="00604158"/>
    <w:rsid w:val="00606929"/>
    <w:rsid w:val="0060756A"/>
    <w:rsid w:val="00610243"/>
    <w:rsid w:val="00610716"/>
    <w:rsid w:val="006127B5"/>
    <w:rsid w:val="00612870"/>
    <w:rsid w:val="00612FAB"/>
    <w:rsid w:val="00613224"/>
    <w:rsid w:val="006173B6"/>
    <w:rsid w:val="00620061"/>
    <w:rsid w:val="0062120B"/>
    <w:rsid w:val="006234EE"/>
    <w:rsid w:val="006246B5"/>
    <w:rsid w:val="00624B64"/>
    <w:rsid w:val="00625DA9"/>
    <w:rsid w:val="00626F4B"/>
    <w:rsid w:val="006306C8"/>
    <w:rsid w:val="0063115A"/>
    <w:rsid w:val="0063432F"/>
    <w:rsid w:val="006366E3"/>
    <w:rsid w:val="006433BD"/>
    <w:rsid w:val="00643E4B"/>
    <w:rsid w:val="00645E15"/>
    <w:rsid w:val="006460B5"/>
    <w:rsid w:val="006471A1"/>
    <w:rsid w:val="00651455"/>
    <w:rsid w:val="00651D04"/>
    <w:rsid w:val="006564C2"/>
    <w:rsid w:val="0066049F"/>
    <w:rsid w:val="006607A4"/>
    <w:rsid w:val="00661586"/>
    <w:rsid w:val="00661DCA"/>
    <w:rsid w:val="00664072"/>
    <w:rsid w:val="006715A6"/>
    <w:rsid w:val="00673B62"/>
    <w:rsid w:val="00674063"/>
    <w:rsid w:val="0067653D"/>
    <w:rsid w:val="0068090F"/>
    <w:rsid w:val="006811AD"/>
    <w:rsid w:val="00681E86"/>
    <w:rsid w:val="006827D2"/>
    <w:rsid w:val="0068398C"/>
    <w:rsid w:val="00684C21"/>
    <w:rsid w:val="006867A1"/>
    <w:rsid w:val="006907B7"/>
    <w:rsid w:val="00690A0E"/>
    <w:rsid w:val="00691718"/>
    <w:rsid w:val="0069348F"/>
    <w:rsid w:val="00693F03"/>
    <w:rsid w:val="0069404D"/>
    <w:rsid w:val="006941A4"/>
    <w:rsid w:val="006945D0"/>
    <w:rsid w:val="00694A21"/>
    <w:rsid w:val="00695128"/>
    <w:rsid w:val="006960E9"/>
    <w:rsid w:val="00696391"/>
    <w:rsid w:val="006964AD"/>
    <w:rsid w:val="006A15EE"/>
    <w:rsid w:val="006A2600"/>
    <w:rsid w:val="006A69E0"/>
    <w:rsid w:val="006A7EA8"/>
    <w:rsid w:val="006B11C0"/>
    <w:rsid w:val="006B15B4"/>
    <w:rsid w:val="006B25B0"/>
    <w:rsid w:val="006B540B"/>
    <w:rsid w:val="006B54C2"/>
    <w:rsid w:val="006B5EBA"/>
    <w:rsid w:val="006B7995"/>
    <w:rsid w:val="006B7F92"/>
    <w:rsid w:val="006C080D"/>
    <w:rsid w:val="006C1EE2"/>
    <w:rsid w:val="006C31BB"/>
    <w:rsid w:val="006C4B11"/>
    <w:rsid w:val="006C4C02"/>
    <w:rsid w:val="006C59FC"/>
    <w:rsid w:val="006C66CE"/>
    <w:rsid w:val="006C691B"/>
    <w:rsid w:val="006D214D"/>
    <w:rsid w:val="006D35B2"/>
    <w:rsid w:val="006D3D5E"/>
    <w:rsid w:val="006D435D"/>
    <w:rsid w:val="006D7B24"/>
    <w:rsid w:val="006E00B3"/>
    <w:rsid w:val="006E0A6D"/>
    <w:rsid w:val="006E0C4C"/>
    <w:rsid w:val="006E0E48"/>
    <w:rsid w:val="006E463B"/>
    <w:rsid w:val="006E58E0"/>
    <w:rsid w:val="006E5EA6"/>
    <w:rsid w:val="006E77EB"/>
    <w:rsid w:val="006E7C0E"/>
    <w:rsid w:val="006F1D3B"/>
    <w:rsid w:val="006F5124"/>
    <w:rsid w:val="006F5178"/>
    <w:rsid w:val="007001CC"/>
    <w:rsid w:val="00702E15"/>
    <w:rsid w:val="007038E9"/>
    <w:rsid w:val="00706621"/>
    <w:rsid w:val="00710C05"/>
    <w:rsid w:val="007129DC"/>
    <w:rsid w:val="007170FE"/>
    <w:rsid w:val="00717CEA"/>
    <w:rsid w:val="00721F45"/>
    <w:rsid w:val="0072445B"/>
    <w:rsid w:val="0073049C"/>
    <w:rsid w:val="0073177C"/>
    <w:rsid w:val="0073301A"/>
    <w:rsid w:val="007333B0"/>
    <w:rsid w:val="00733584"/>
    <w:rsid w:val="00734AAC"/>
    <w:rsid w:val="00734D77"/>
    <w:rsid w:val="00735B76"/>
    <w:rsid w:val="00736C41"/>
    <w:rsid w:val="0073776C"/>
    <w:rsid w:val="007418D3"/>
    <w:rsid w:val="00744057"/>
    <w:rsid w:val="00745949"/>
    <w:rsid w:val="007479A2"/>
    <w:rsid w:val="00750D8E"/>
    <w:rsid w:val="00751126"/>
    <w:rsid w:val="00754013"/>
    <w:rsid w:val="00755236"/>
    <w:rsid w:val="00755B9E"/>
    <w:rsid w:val="007563FB"/>
    <w:rsid w:val="007565B6"/>
    <w:rsid w:val="0075716D"/>
    <w:rsid w:val="00760973"/>
    <w:rsid w:val="007644D2"/>
    <w:rsid w:val="007652F1"/>
    <w:rsid w:val="00765C7B"/>
    <w:rsid w:val="0076628E"/>
    <w:rsid w:val="007663D2"/>
    <w:rsid w:val="007663F3"/>
    <w:rsid w:val="007668D1"/>
    <w:rsid w:val="00767248"/>
    <w:rsid w:val="00770084"/>
    <w:rsid w:val="0077483C"/>
    <w:rsid w:val="0077513E"/>
    <w:rsid w:val="00775333"/>
    <w:rsid w:val="007762EC"/>
    <w:rsid w:val="00777E84"/>
    <w:rsid w:val="00781AE3"/>
    <w:rsid w:val="0078326B"/>
    <w:rsid w:val="0078492A"/>
    <w:rsid w:val="007850C0"/>
    <w:rsid w:val="00785164"/>
    <w:rsid w:val="00785B8C"/>
    <w:rsid w:val="00792D85"/>
    <w:rsid w:val="00792DCA"/>
    <w:rsid w:val="00793870"/>
    <w:rsid w:val="00795808"/>
    <w:rsid w:val="007959C3"/>
    <w:rsid w:val="00796C4B"/>
    <w:rsid w:val="00797462"/>
    <w:rsid w:val="007975CB"/>
    <w:rsid w:val="007A096A"/>
    <w:rsid w:val="007A1589"/>
    <w:rsid w:val="007A1C33"/>
    <w:rsid w:val="007A24F8"/>
    <w:rsid w:val="007A5822"/>
    <w:rsid w:val="007A6234"/>
    <w:rsid w:val="007A7036"/>
    <w:rsid w:val="007B04E3"/>
    <w:rsid w:val="007B0CCC"/>
    <w:rsid w:val="007C1AF5"/>
    <w:rsid w:val="007C25D9"/>
    <w:rsid w:val="007C2BF3"/>
    <w:rsid w:val="007C318C"/>
    <w:rsid w:val="007C4F2D"/>
    <w:rsid w:val="007C5F78"/>
    <w:rsid w:val="007C6EA2"/>
    <w:rsid w:val="007C731F"/>
    <w:rsid w:val="007C7C30"/>
    <w:rsid w:val="007D1534"/>
    <w:rsid w:val="007D24C3"/>
    <w:rsid w:val="007D2561"/>
    <w:rsid w:val="007D3D27"/>
    <w:rsid w:val="007D6731"/>
    <w:rsid w:val="007D6B90"/>
    <w:rsid w:val="007D75D9"/>
    <w:rsid w:val="007E1A8A"/>
    <w:rsid w:val="007E2A39"/>
    <w:rsid w:val="007E2C74"/>
    <w:rsid w:val="007E2CD3"/>
    <w:rsid w:val="007E2F69"/>
    <w:rsid w:val="007E4CA1"/>
    <w:rsid w:val="007E6D89"/>
    <w:rsid w:val="007F0487"/>
    <w:rsid w:val="007F0E50"/>
    <w:rsid w:val="007F15DA"/>
    <w:rsid w:val="007F36DE"/>
    <w:rsid w:val="007F3C4E"/>
    <w:rsid w:val="007F3FF7"/>
    <w:rsid w:val="007F40AC"/>
    <w:rsid w:val="007F41D7"/>
    <w:rsid w:val="007F69F9"/>
    <w:rsid w:val="007F735A"/>
    <w:rsid w:val="00801D09"/>
    <w:rsid w:val="008026AF"/>
    <w:rsid w:val="00802834"/>
    <w:rsid w:val="00803EAD"/>
    <w:rsid w:val="00804014"/>
    <w:rsid w:val="00806164"/>
    <w:rsid w:val="008115F2"/>
    <w:rsid w:val="00813746"/>
    <w:rsid w:val="008167A4"/>
    <w:rsid w:val="00816A70"/>
    <w:rsid w:val="00816BA5"/>
    <w:rsid w:val="0081701D"/>
    <w:rsid w:val="00821E6B"/>
    <w:rsid w:val="00822144"/>
    <w:rsid w:val="00824516"/>
    <w:rsid w:val="008250AA"/>
    <w:rsid w:val="00826371"/>
    <w:rsid w:val="00826BD2"/>
    <w:rsid w:val="00831F5D"/>
    <w:rsid w:val="00832946"/>
    <w:rsid w:val="0083400B"/>
    <w:rsid w:val="008345F2"/>
    <w:rsid w:val="008348BD"/>
    <w:rsid w:val="00834ACB"/>
    <w:rsid w:val="008359EC"/>
    <w:rsid w:val="00836DB9"/>
    <w:rsid w:val="0083715B"/>
    <w:rsid w:val="00837E0D"/>
    <w:rsid w:val="00840FC8"/>
    <w:rsid w:val="00841710"/>
    <w:rsid w:val="008421F1"/>
    <w:rsid w:val="00844B6D"/>
    <w:rsid w:val="0084699E"/>
    <w:rsid w:val="00846C53"/>
    <w:rsid w:val="0084744B"/>
    <w:rsid w:val="00850BF3"/>
    <w:rsid w:val="008544E0"/>
    <w:rsid w:val="00854681"/>
    <w:rsid w:val="00857135"/>
    <w:rsid w:val="00860FEB"/>
    <w:rsid w:val="00862B19"/>
    <w:rsid w:val="00862BFB"/>
    <w:rsid w:val="0086312F"/>
    <w:rsid w:val="00864C26"/>
    <w:rsid w:val="00866814"/>
    <w:rsid w:val="00870364"/>
    <w:rsid w:val="008735B4"/>
    <w:rsid w:val="00875A55"/>
    <w:rsid w:val="00876574"/>
    <w:rsid w:val="00877A9B"/>
    <w:rsid w:val="00880621"/>
    <w:rsid w:val="00881912"/>
    <w:rsid w:val="00881F94"/>
    <w:rsid w:val="008825E6"/>
    <w:rsid w:val="0088276C"/>
    <w:rsid w:val="00883E7C"/>
    <w:rsid w:val="008840D3"/>
    <w:rsid w:val="00884480"/>
    <w:rsid w:val="00884735"/>
    <w:rsid w:val="00884A58"/>
    <w:rsid w:val="00885D81"/>
    <w:rsid w:val="008864A0"/>
    <w:rsid w:val="00887F15"/>
    <w:rsid w:val="008900AD"/>
    <w:rsid w:val="00892341"/>
    <w:rsid w:val="00893F02"/>
    <w:rsid w:val="00894BB5"/>
    <w:rsid w:val="00894CFC"/>
    <w:rsid w:val="00895F40"/>
    <w:rsid w:val="00896057"/>
    <w:rsid w:val="008963A3"/>
    <w:rsid w:val="00896A58"/>
    <w:rsid w:val="008A0D97"/>
    <w:rsid w:val="008A1E99"/>
    <w:rsid w:val="008A30D4"/>
    <w:rsid w:val="008A3720"/>
    <w:rsid w:val="008A58B3"/>
    <w:rsid w:val="008A6A31"/>
    <w:rsid w:val="008A7039"/>
    <w:rsid w:val="008A7DA2"/>
    <w:rsid w:val="008A7E07"/>
    <w:rsid w:val="008A7EF7"/>
    <w:rsid w:val="008B02D1"/>
    <w:rsid w:val="008B0578"/>
    <w:rsid w:val="008B1661"/>
    <w:rsid w:val="008B22C6"/>
    <w:rsid w:val="008B27ED"/>
    <w:rsid w:val="008B2F81"/>
    <w:rsid w:val="008B4331"/>
    <w:rsid w:val="008B5FC2"/>
    <w:rsid w:val="008B6A69"/>
    <w:rsid w:val="008B766C"/>
    <w:rsid w:val="008B7B86"/>
    <w:rsid w:val="008C02D3"/>
    <w:rsid w:val="008C08EB"/>
    <w:rsid w:val="008C0A41"/>
    <w:rsid w:val="008C1048"/>
    <w:rsid w:val="008C1123"/>
    <w:rsid w:val="008C2D18"/>
    <w:rsid w:val="008C4826"/>
    <w:rsid w:val="008C7AB8"/>
    <w:rsid w:val="008D397A"/>
    <w:rsid w:val="008D3CD4"/>
    <w:rsid w:val="008D4BA7"/>
    <w:rsid w:val="008D51B6"/>
    <w:rsid w:val="008D56A3"/>
    <w:rsid w:val="008D575A"/>
    <w:rsid w:val="008D7090"/>
    <w:rsid w:val="008E0D06"/>
    <w:rsid w:val="008E26EC"/>
    <w:rsid w:val="008E2B1D"/>
    <w:rsid w:val="008E7BD1"/>
    <w:rsid w:val="008F7E90"/>
    <w:rsid w:val="0090045D"/>
    <w:rsid w:val="00900A17"/>
    <w:rsid w:val="009012DA"/>
    <w:rsid w:val="009015AC"/>
    <w:rsid w:val="00903D20"/>
    <w:rsid w:val="009111A6"/>
    <w:rsid w:val="0091161E"/>
    <w:rsid w:val="009127F3"/>
    <w:rsid w:val="00912EDB"/>
    <w:rsid w:val="0091416B"/>
    <w:rsid w:val="00914E7B"/>
    <w:rsid w:val="00914FB0"/>
    <w:rsid w:val="00921DE3"/>
    <w:rsid w:val="00925DA8"/>
    <w:rsid w:val="00926183"/>
    <w:rsid w:val="00933E02"/>
    <w:rsid w:val="009403ED"/>
    <w:rsid w:val="009411DE"/>
    <w:rsid w:val="00944E8C"/>
    <w:rsid w:val="009464B9"/>
    <w:rsid w:val="009510F7"/>
    <w:rsid w:val="009536B8"/>
    <w:rsid w:val="00953ACF"/>
    <w:rsid w:val="00955D23"/>
    <w:rsid w:val="00956131"/>
    <w:rsid w:val="0095623F"/>
    <w:rsid w:val="009579E7"/>
    <w:rsid w:val="00960E04"/>
    <w:rsid w:val="00961CA7"/>
    <w:rsid w:val="00962BF7"/>
    <w:rsid w:val="00962E13"/>
    <w:rsid w:val="00965D8F"/>
    <w:rsid w:val="00966405"/>
    <w:rsid w:val="00971D7B"/>
    <w:rsid w:val="009726F7"/>
    <w:rsid w:val="00972884"/>
    <w:rsid w:val="00973C51"/>
    <w:rsid w:val="009759E3"/>
    <w:rsid w:val="00975FFD"/>
    <w:rsid w:val="00977C26"/>
    <w:rsid w:val="0098130D"/>
    <w:rsid w:val="009815EA"/>
    <w:rsid w:val="00982E2B"/>
    <w:rsid w:val="009853B2"/>
    <w:rsid w:val="00985739"/>
    <w:rsid w:val="00985ADD"/>
    <w:rsid w:val="00987408"/>
    <w:rsid w:val="00992BD0"/>
    <w:rsid w:val="0099543B"/>
    <w:rsid w:val="00995B35"/>
    <w:rsid w:val="009A1EF5"/>
    <w:rsid w:val="009A2401"/>
    <w:rsid w:val="009A2CD8"/>
    <w:rsid w:val="009A395B"/>
    <w:rsid w:val="009A3EB7"/>
    <w:rsid w:val="009A4315"/>
    <w:rsid w:val="009A4B40"/>
    <w:rsid w:val="009A4E37"/>
    <w:rsid w:val="009B03FF"/>
    <w:rsid w:val="009B0EB0"/>
    <w:rsid w:val="009B2B1B"/>
    <w:rsid w:val="009B3C9D"/>
    <w:rsid w:val="009B4532"/>
    <w:rsid w:val="009B51F6"/>
    <w:rsid w:val="009B6A69"/>
    <w:rsid w:val="009B6BA0"/>
    <w:rsid w:val="009C1D95"/>
    <w:rsid w:val="009C4E4D"/>
    <w:rsid w:val="009C59DA"/>
    <w:rsid w:val="009C693D"/>
    <w:rsid w:val="009C7768"/>
    <w:rsid w:val="009D1210"/>
    <w:rsid w:val="009D1684"/>
    <w:rsid w:val="009D352C"/>
    <w:rsid w:val="009D6198"/>
    <w:rsid w:val="009D62E3"/>
    <w:rsid w:val="009D70B8"/>
    <w:rsid w:val="009E40AE"/>
    <w:rsid w:val="009E6318"/>
    <w:rsid w:val="009E6C62"/>
    <w:rsid w:val="009F2A6C"/>
    <w:rsid w:val="009F48BB"/>
    <w:rsid w:val="009F6661"/>
    <w:rsid w:val="009F7BE0"/>
    <w:rsid w:val="00A00D31"/>
    <w:rsid w:val="00A0478D"/>
    <w:rsid w:val="00A06854"/>
    <w:rsid w:val="00A07FED"/>
    <w:rsid w:val="00A11DEE"/>
    <w:rsid w:val="00A12A51"/>
    <w:rsid w:val="00A13D88"/>
    <w:rsid w:val="00A14401"/>
    <w:rsid w:val="00A14606"/>
    <w:rsid w:val="00A15749"/>
    <w:rsid w:val="00A157DD"/>
    <w:rsid w:val="00A15B51"/>
    <w:rsid w:val="00A16D1B"/>
    <w:rsid w:val="00A171FC"/>
    <w:rsid w:val="00A2124B"/>
    <w:rsid w:val="00A257C3"/>
    <w:rsid w:val="00A25D7F"/>
    <w:rsid w:val="00A26913"/>
    <w:rsid w:val="00A271EF"/>
    <w:rsid w:val="00A30E48"/>
    <w:rsid w:val="00A3292F"/>
    <w:rsid w:val="00A37154"/>
    <w:rsid w:val="00A37454"/>
    <w:rsid w:val="00A37EBA"/>
    <w:rsid w:val="00A41067"/>
    <w:rsid w:val="00A4598D"/>
    <w:rsid w:val="00A470E5"/>
    <w:rsid w:val="00A50BC3"/>
    <w:rsid w:val="00A5189E"/>
    <w:rsid w:val="00A52081"/>
    <w:rsid w:val="00A57C9B"/>
    <w:rsid w:val="00A610AD"/>
    <w:rsid w:val="00A62254"/>
    <w:rsid w:val="00A62482"/>
    <w:rsid w:val="00A62624"/>
    <w:rsid w:val="00A628C5"/>
    <w:rsid w:val="00A639BA"/>
    <w:rsid w:val="00A652F4"/>
    <w:rsid w:val="00A66FED"/>
    <w:rsid w:val="00A712A6"/>
    <w:rsid w:val="00A71ECA"/>
    <w:rsid w:val="00A72526"/>
    <w:rsid w:val="00A737A4"/>
    <w:rsid w:val="00A801F6"/>
    <w:rsid w:val="00A80B88"/>
    <w:rsid w:val="00A814FB"/>
    <w:rsid w:val="00A833B0"/>
    <w:rsid w:val="00A84C2D"/>
    <w:rsid w:val="00A85D4E"/>
    <w:rsid w:val="00A86C9E"/>
    <w:rsid w:val="00A87458"/>
    <w:rsid w:val="00A8787A"/>
    <w:rsid w:val="00A87984"/>
    <w:rsid w:val="00A90F14"/>
    <w:rsid w:val="00A91677"/>
    <w:rsid w:val="00A9268B"/>
    <w:rsid w:val="00A938F4"/>
    <w:rsid w:val="00A94186"/>
    <w:rsid w:val="00A94DD2"/>
    <w:rsid w:val="00A94F1B"/>
    <w:rsid w:val="00A95B6E"/>
    <w:rsid w:val="00A973DA"/>
    <w:rsid w:val="00AA0FED"/>
    <w:rsid w:val="00AA1479"/>
    <w:rsid w:val="00AA1962"/>
    <w:rsid w:val="00AA2933"/>
    <w:rsid w:val="00AA385A"/>
    <w:rsid w:val="00AA633B"/>
    <w:rsid w:val="00AA6F50"/>
    <w:rsid w:val="00AA7B4E"/>
    <w:rsid w:val="00AB0768"/>
    <w:rsid w:val="00AB1473"/>
    <w:rsid w:val="00AB1D6E"/>
    <w:rsid w:val="00AB1F20"/>
    <w:rsid w:val="00AB2651"/>
    <w:rsid w:val="00AB4A40"/>
    <w:rsid w:val="00AB6082"/>
    <w:rsid w:val="00AB7503"/>
    <w:rsid w:val="00AB757C"/>
    <w:rsid w:val="00AC10FE"/>
    <w:rsid w:val="00AC2920"/>
    <w:rsid w:val="00AC315B"/>
    <w:rsid w:val="00AC59A8"/>
    <w:rsid w:val="00AC7656"/>
    <w:rsid w:val="00AD0FF3"/>
    <w:rsid w:val="00AD11AA"/>
    <w:rsid w:val="00AD18A8"/>
    <w:rsid w:val="00AD2A2A"/>
    <w:rsid w:val="00AD3DE7"/>
    <w:rsid w:val="00AD6C5C"/>
    <w:rsid w:val="00AD7C82"/>
    <w:rsid w:val="00AE2D94"/>
    <w:rsid w:val="00AE6B57"/>
    <w:rsid w:val="00AF06DE"/>
    <w:rsid w:val="00AF0D98"/>
    <w:rsid w:val="00AF2F44"/>
    <w:rsid w:val="00AF4A57"/>
    <w:rsid w:val="00AF51BC"/>
    <w:rsid w:val="00AF549A"/>
    <w:rsid w:val="00AF6272"/>
    <w:rsid w:val="00AF64AA"/>
    <w:rsid w:val="00AF6B40"/>
    <w:rsid w:val="00AF7308"/>
    <w:rsid w:val="00B0002A"/>
    <w:rsid w:val="00B019E4"/>
    <w:rsid w:val="00B045A6"/>
    <w:rsid w:val="00B06359"/>
    <w:rsid w:val="00B07B50"/>
    <w:rsid w:val="00B11537"/>
    <w:rsid w:val="00B14719"/>
    <w:rsid w:val="00B14FE1"/>
    <w:rsid w:val="00B23F1E"/>
    <w:rsid w:val="00B25712"/>
    <w:rsid w:val="00B26304"/>
    <w:rsid w:val="00B2719A"/>
    <w:rsid w:val="00B27931"/>
    <w:rsid w:val="00B27B16"/>
    <w:rsid w:val="00B300A4"/>
    <w:rsid w:val="00B30CA1"/>
    <w:rsid w:val="00B30CBD"/>
    <w:rsid w:val="00B315CB"/>
    <w:rsid w:val="00B32127"/>
    <w:rsid w:val="00B33885"/>
    <w:rsid w:val="00B33ACC"/>
    <w:rsid w:val="00B36276"/>
    <w:rsid w:val="00B3758E"/>
    <w:rsid w:val="00B37DE0"/>
    <w:rsid w:val="00B40B97"/>
    <w:rsid w:val="00B41308"/>
    <w:rsid w:val="00B425CD"/>
    <w:rsid w:val="00B42892"/>
    <w:rsid w:val="00B428EE"/>
    <w:rsid w:val="00B5081C"/>
    <w:rsid w:val="00B5106A"/>
    <w:rsid w:val="00B511B0"/>
    <w:rsid w:val="00B56C3E"/>
    <w:rsid w:val="00B60C9A"/>
    <w:rsid w:val="00B623D9"/>
    <w:rsid w:val="00B6562A"/>
    <w:rsid w:val="00B671D7"/>
    <w:rsid w:val="00B72578"/>
    <w:rsid w:val="00B72B63"/>
    <w:rsid w:val="00B73D65"/>
    <w:rsid w:val="00B75539"/>
    <w:rsid w:val="00B7677A"/>
    <w:rsid w:val="00B812ED"/>
    <w:rsid w:val="00B8285A"/>
    <w:rsid w:val="00B852DC"/>
    <w:rsid w:val="00B86CE5"/>
    <w:rsid w:val="00B8738C"/>
    <w:rsid w:val="00B87512"/>
    <w:rsid w:val="00B9006C"/>
    <w:rsid w:val="00B91223"/>
    <w:rsid w:val="00B91CAE"/>
    <w:rsid w:val="00B92707"/>
    <w:rsid w:val="00B93760"/>
    <w:rsid w:val="00B94975"/>
    <w:rsid w:val="00B95709"/>
    <w:rsid w:val="00B96D1D"/>
    <w:rsid w:val="00B97B93"/>
    <w:rsid w:val="00B97F44"/>
    <w:rsid w:val="00BA0ACB"/>
    <w:rsid w:val="00BA178E"/>
    <w:rsid w:val="00BA2703"/>
    <w:rsid w:val="00BA5D0D"/>
    <w:rsid w:val="00BB0AE0"/>
    <w:rsid w:val="00BB3D62"/>
    <w:rsid w:val="00BB3F83"/>
    <w:rsid w:val="00BB4ACE"/>
    <w:rsid w:val="00BB59D3"/>
    <w:rsid w:val="00BB7EB2"/>
    <w:rsid w:val="00BC1033"/>
    <w:rsid w:val="00BC1D24"/>
    <w:rsid w:val="00BC2C98"/>
    <w:rsid w:val="00BC52AD"/>
    <w:rsid w:val="00BC5722"/>
    <w:rsid w:val="00BC626F"/>
    <w:rsid w:val="00BD064A"/>
    <w:rsid w:val="00BD1116"/>
    <w:rsid w:val="00BD2A80"/>
    <w:rsid w:val="00BD3A86"/>
    <w:rsid w:val="00BD425E"/>
    <w:rsid w:val="00BD43DC"/>
    <w:rsid w:val="00BE02DD"/>
    <w:rsid w:val="00BE399B"/>
    <w:rsid w:val="00BE47AB"/>
    <w:rsid w:val="00BE4911"/>
    <w:rsid w:val="00BE604B"/>
    <w:rsid w:val="00BF1BD5"/>
    <w:rsid w:val="00BF2EC0"/>
    <w:rsid w:val="00BF4DF2"/>
    <w:rsid w:val="00BF504B"/>
    <w:rsid w:val="00BF5983"/>
    <w:rsid w:val="00C00028"/>
    <w:rsid w:val="00C00402"/>
    <w:rsid w:val="00C00BE3"/>
    <w:rsid w:val="00C037CD"/>
    <w:rsid w:val="00C03970"/>
    <w:rsid w:val="00C0452F"/>
    <w:rsid w:val="00C05827"/>
    <w:rsid w:val="00C07EBB"/>
    <w:rsid w:val="00C07FE3"/>
    <w:rsid w:val="00C10474"/>
    <w:rsid w:val="00C10502"/>
    <w:rsid w:val="00C110BA"/>
    <w:rsid w:val="00C12F06"/>
    <w:rsid w:val="00C1333F"/>
    <w:rsid w:val="00C13A8E"/>
    <w:rsid w:val="00C144E8"/>
    <w:rsid w:val="00C160C0"/>
    <w:rsid w:val="00C164A0"/>
    <w:rsid w:val="00C16524"/>
    <w:rsid w:val="00C17FF6"/>
    <w:rsid w:val="00C226A1"/>
    <w:rsid w:val="00C2520D"/>
    <w:rsid w:val="00C25E0F"/>
    <w:rsid w:val="00C2740F"/>
    <w:rsid w:val="00C31322"/>
    <w:rsid w:val="00C31BAE"/>
    <w:rsid w:val="00C3258E"/>
    <w:rsid w:val="00C355EA"/>
    <w:rsid w:val="00C36B0F"/>
    <w:rsid w:val="00C41358"/>
    <w:rsid w:val="00C422CE"/>
    <w:rsid w:val="00C42937"/>
    <w:rsid w:val="00C47A03"/>
    <w:rsid w:val="00C47C3B"/>
    <w:rsid w:val="00C47EA5"/>
    <w:rsid w:val="00C5108C"/>
    <w:rsid w:val="00C52A65"/>
    <w:rsid w:val="00C52AC2"/>
    <w:rsid w:val="00C52BAA"/>
    <w:rsid w:val="00C53A8F"/>
    <w:rsid w:val="00C53DAF"/>
    <w:rsid w:val="00C54738"/>
    <w:rsid w:val="00C55EF3"/>
    <w:rsid w:val="00C56348"/>
    <w:rsid w:val="00C604B8"/>
    <w:rsid w:val="00C629C3"/>
    <w:rsid w:val="00C631B5"/>
    <w:rsid w:val="00C63B1C"/>
    <w:rsid w:val="00C655A3"/>
    <w:rsid w:val="00C72917"/>
    <w:rsid w:val="00C760FC"/>
    <w:rsid w:val="00C800D7"/>
    <w:rsid w:val="00C80655"/>
    <w:rsid w:val="00C80EAC"/>
    <w:rsid w:val="00C831E4"/>
    <w:rsid w:val="00C83EE5"/>
    <w:rsid w:val="00C855DC"/>
    <w:rsid w:val="00C85A90"/>
    <w:rsid w:val="00C86006"/>
    <w:rsid w:val="00C90F5B"/>
    <w:rsid w:val="00C92B18"/>
    <w:rsid w:val="00C945D7"/>
    <w:rsid w:val="00CA1BCF"/>
    <w:rsid w:val="00CA2B47"/>
    <w:rsid w:val="00CA4F71"/>
    <w:rsid w:val="00CA5979"/>
    <w:rsid w:val="00CA72F2"/>
    <w:rsid w:val="00CA7860"/>
    <w:rsid w:val="00CB386C"/>
    <w:rsid w:val="00CB56CE"/>
    <w:rsid w:val="00CB747D"/>
    <w:rsid w:val="00CC1480"/>
    <w:rsid w:val="00CC3F9D"/>
    <w:rsid w:val="00CC60A2"/>
    <w:rsid w:val="00CD16AA"/>
    <w:rsid w:val="00CD2F39"/>
    <w:rsid w:val="00CD530B"/>
    <w:rsid w:val="00CD653B"/>
    <w:rsid w:val="00CD65F2"/>
    <w:rsid w:val="00CD7620"/>
    <w:rsid w:val="00CE0B44"/>
    <w:rsid w:val="00CE15CE"/>
    <w:rsid w:val="00CE3338"/>
    <w:rsid w:val="00CE7CD0"/>
    <w:rsid w:val="00CF058B"/>
    <w:rsid w:val="00CF0B1F"/>
    <w:rsid w:val="00CF1621"/>
    <w:rsid w:val="00CF168A"/>
    <w:rsid w:val="00CF4935"/>
    <w:rsid w:val="00CF5D02"/>
    <w:rsid w:val="00CF628A"/>
    <w:rsid w:val="00CF7711"/>
    <w:rsid w:val="00D00B00"/>
    <w:rsid w:val="00D05510"/>
    <w:rsid w:val="00D05598"/>
    <w:rsid w:val="00D05E08"/>
    <w:rsid w:val="00D060B2"/>
    <w:rsid w:val="00D0642D"/>
    <w:rsid w:val="00D07924"/>
    <w:rsid w:val="00D10056"/>
    <w:rsid w:val="00D129F2"/>
    <w:rsid w:val="00D13683"/>
    <w:rsid w:val="00D1489F"/>
    <w:rsid w:val="00D14DBE"/>
    <w:rsid w:val="00D16229"/>
    <w:rsid w:val="00D1699F"/>
    <w:rsid w:val="00D1700D"/>
    <w:rsid w:val="00D22748"/>
    <w:rsid w:val="00D22791"/>
    <w:rsid w:val="00D22DDF"/>
    <w:rsid w:val="00D2385E"/>
    <w:rsid w:val="00D2397E"/>
    <w:rsid w:val="00D25688"/>
    <w:rsid w:val="00D26211"/>
    <w:rsid w:val="00D27729"/>
    <w:rsid w:val="00D320CE"/>
    <w:rsid w:val="00D36A46"/>
    <w:rsid w:val="00D37C37"/>
    <w:rsid w:val="00D37C91"/>
    <w:rsid w:val="00D428E9"/>
    <w:rsid w:val="00D437A8"/>
    <w:rsid w:val="00D44D87"/>
    <w:rsid w:val="00D45DBF"/>
    <w:rsid w:val="00D468AB"/>
    <w:rsid w:val="00D47FDA"/>
    <w:rsid w:val="00D5004E"/>
    <w:rsid w:val="00D53CE7"/>
    <w:rsid w:val="00D53DD1"/>
    <w:rsid w:val="00D56E5C"/>
    <w:rsid w:val="00D57464"/>
    <w:rsid w:val="00D5775D"/>
    <w:rsid w:val="00D61CC5"/>
    <w:rsid w:val="00D65662"/>
    <w:rsid w:val="00D65A7F"/>
    <w:rsid w:val="00D66C0E"/>
    <w:rsid w:val="00D72DEC"/>
    <w:rsid w:val="00D73462"/>
    <w:rsid w:val="00D741B0"/>
    <w:rsid w:val="00D74DF4"/>
    <w:rsid w:val="00D75D2D"/>
    <w:rsid w:val="00D76399"/>
    <w:rsid w:val="00D771B9"/>
    <w:rsid w:val="00D779B2"/>
    <w:rsid w:val="00D77C26"/>
    <w:rsid w:val="00D81E8D"/>
    <w:rsid w:val="00D81EFB"/>
    <w:rsid w:val="00D82101"/>
    <w:rsid w:val="00D834EA"/>
    <w:rsid w:val="00D83782"/>
    <w:rsid w:val="00D85FDA"/>
    <w:rsid w:val="00D8645F"/>
    <w:rsid w:val="00D86858"/>
    <w:rsid w:val="00D871FC"/>
    <w:rsid w:val="00D91AC6"/>
    <w:rsid w:val="00D92A25"/>
    <w:rsid w:val="00D93705"/>
    <w:rsid w:val="00D957A7"/>
    <w:rsid w:val="00D9600F"/>
    <w:rsid w:val="00DA0179"/>
    <w:rsid w:val="00DA46D0"/>
    <w:rsid w:val="00DA51C3"/>
    <w:rsid w:val="00DA5F40"/>
    <w:rsid w:val="00DA67ED"/>
    <w:rsid w:val="00DB05B3"/>
    <w:rsid w:val="00DB2191"/>
    <w:rsid w:val="00DB285B"/>
    <w:rsid w:val="00DB6EFD"/>
    <w:rsid w:val="00DC1CF1"/>
    <w:rsid w:val="00DC2A6C"/>
    <w:rsid w:val="00DC2FDB"/>
    <w:rsid w:val="00DC3827"/>
    <w:rsid w:val="00DC5158"/>
    <w:rsid w:val="00DC527B"/>
    <w:rsid w:val="00DC57CF"/>
    <w:rsid w:val="00DC6088"/>
    <w:rsid w:val="00DC79E5"/>
    <w:rsid w:val="00DD099C"/>
    <w:rsid w:val="00DD21C1"/>
    <w:rsid w:val="00DD2D67"/>
    <w:rsid w:val="00DD2E8E"/>
    <w:rsid w:val="00DD56F9"/>
    <w:rsid w:val="00DD74CA"/>
    <w:rsid w:val="00DE1E1B"/>
    <w:rsid w:val="00DE23CD"/>
    <w:rsid w:val="00DE7BC1"/>
    <w:rsid w:val="00DF0301"/>
    <w:rsid w:val="00DF1EB6"/>
    <w:rsid w:val="00DF3A21"/>
    <w:rsid w:val="00DF5807"/>
    <w:rsid w:val="00DF5C24"/>
    <w:rsid w:val="00DF6A1E"/>
    <w:rsid w:val="00E004F0"/>
    <w:rsid w:val="00E019C6"/>
    <w:rsid w:val="00E01AE5"/>
    <w:rsid w:val="00E01B83"/>
    <w:rsid w:val="00E01FBF"/>
    <w:rsid w:val="00E02189"/>
    <w:rsid w:val="00E02E7D"/>
    <w:rsid w:val="00E040B7"/>
    <w:rsid w:val="00E0491F"/>
    <w:rsid w:val="00E06090"/>
    <w:rsid w:val="00E11E85"/>
    <w:rsid w:val="00E14203"/>
    <w:rsid w:val="00E16C87"/>
    <w:rsid w:val="00E2077D"/>
    <w:rsid w:val="00E20BC0"/>
    <w:rsid w:val="00E225C3"/>
    <w:rsid w:val="00E22B22"/>
    <w:rsid w:val="00E24541"/>
    <w:rsid w:val="00E261ED"/>
    <w:rsid w:val="00E27D29"/>
    <w:rsid w:val="00E27E0B"/>
    <w:rsid w:val="00E30553"/>
    <w:rsid w:val="00E31DB8"/>
    <w:rsid w:val="00E32728"/>
    <w:rsid w:val="00E339AD"/>
    <w:rsid w:val="00E40273"/>
    <w:rsid w:val="00E41E7B"/>
    <w:rsid w:val="00E42265"/>
    <w:rsid w:val="00E4259B"/>
    <w:rsid w:val="00E432F5"/>
    <w:rsid w:val="00E44C92"/>
    <w:rsid w:val="00E45D01"/>
    <w:rsid w:val="00E467E7"/>
    <w:rsid w:val="00E46EBF"/>
    <w:rsid w:val="00E47AAF"/>
    <w:rsid w:val="00E47EDD"/>
    <w:rsid w:val="00E55762"/>
    <w:rsid w:val="00E5630E"/>
    <w:rsid w:val="00E60E8C"/>
    <w:rsid w:val="00E6188B"/>
    <w:rsid w:val="00E643F5"/>
    <w:rsid w:val="00E66BCE"/>
    <w:rsid w:val="00E6774A"/>
    <w:rsid w:val="00E67D65"/>
    <w:rsid w:val="00E70428"/>
    <w:rsid w:val="00E725DB"/>
    <w:rsid w:val="00E72C9F"/>
    <w:rsid w:val="00E74224"/>
    <w:rsid w:val="00E75979"/>
    <w:rsid w:val="00E75D5C"/>
    <w:rsid w:val="00E7615E"/>
    <w:rsid w:val="00E76C8C"/>
    <w:rsid w:val="00E802F4"/>
    <w:rsid w:val="00E82337"/>
    <w:rsid w:val="00E83277"/>
    <w:rsid w:val="00E8359D"/>
    <w:rsid w:val="00E84649"/>
    <w:rsid w:val="00E84A47"/>
    <w:rsid w:val="00E850A4"/>
    <w:rsid w:val="00E850A6"/>
    <w:rsid w:val="00E851B4"/>
    <w:rsid w:val="00E86DE9"/>
    <w:rsid w:val="00E916D3"/>
    <w:rsid w:val="00E91DE3"/>
    <w:rsid w:val="00E92953"/>
    <w:rsid w:val="00E967EA"/>
    <w:rsid w:val="00E96CD0"/>
    <w:rsid w:val="00EA1F78"/>
    <w:rsid w:val="00EA2CE0"/>
    <w:rsid w:val="00EA2FAF"/>
    <w:rsid w:val="00EA5687"/>
    <w:rsid w:val="00EA609D"/>
    <w:rsid w:val="00EA6A89"/>
    <w:rsid w:val="00EA7F70"/>
    <w:rsid w:val="00EB11E4"/>
    <w:rsid w:val="00EB2648"/>
    <w:rsid w:val="00EB2BD6"/>
    <w:rsid w:val="00EB3396"/>
    <w:rsid w:val="00EB3EFA"/>
    <w:rsid w:val="00EB5B62"/>
    <w:rsid w:val="00EB7FCB"/>
    <w:rsid w:val="00EC0918"/>
    <w:rsid w:val="00EC43ED"/>
    <w:rsid w:val="00EC4893"/>
    <w:rsid w:val="00EC5CA6"/>
    <w:rsid w:val="00EC6CF8"/>
    <w:rsid w:val="00EC7222"/>
    <w:rsid w:val="00EC7C62"/>
    <w:rsid w:val="00ED003E"/>
    <w:rsid w:val="00ED217D"/>
    <w:rsid w:val="00ED3E44"/>
    <w:rsid w:val="00ED573D"/>
    <w:rsid w:val="00EE1F5D"/>
    <w:rsid w:val="00EE2358"/>
    <w:rsid w:val="00EE42B6"/>
    <w:rsid w:val="00EE4A0E"/>
    <w:rsid w:val="00EE7564"/>
    <w:rsid w:val="00EF1613"/>
    <w:rsid w:val="00EF1862"/>
    <w:rsid w:val="00EF2208"/>
    <w:rsid w:val="00EF2FB8"/>
    <w:rsid w:val="00EF4D29"/>
    <w:rsid w:val="00EF4F4F"/>
    <w:rsid w:val="00EF62A4"/>
    <w:rsid w:val="00EF7CE4"/>
    <w:rsid w:val="00F01C3D"/>
    <w:rsid w:val="00F02F56"/>
    <w:rsid w:val="00F04747"/>
    <w:rsid w:val="00F05C95"/>
    <w:rsid w:val="00F1257F"/>
    <w:rsid w:val="00F14296"/>
    <w:rsid w:val="00F15A2F"/>
    <w:rsid w:val="00F16466"/>
    <w:rsid w:val="00F1705D"/>
    <w:rsid w:val="00F1774D"/>
    <w:rsid w:val="00F237C0"/>
    <w:rsid w:val="00F23D3C"/>
    <w:rsid w:val="00F242D3"/>
    <w:rsid w:val="00F24D2B"/>
    <w:rsid w:val="00F265E3"/>
    <w:rsid w:val="00F27437"/>
    <w:rsid w:val="00F278AF"/>
    <w:rsid w:val="00F30DEC"/>
    <w:rsid w:val="00F30FDF"/>
    <w:rsid w:val="00F329D7"/>
    <w:rsid w:val="00F33621"/>
    <w:rsid w:val="00F36737"/>
    <w:rsid w:val="00F37B59"/>
    <w:rsid w:val="00F400CD"/>
    <w:rsid w:val="00F43FCD"/>
    <w:rsid w:val="00F45158"/>
    <w:rsid w:val="00F454D9"/>
    <w:rsid w:val="00F46156"/>
    <w:rsid w:val="00F47534"/>
    <w:rsid w:val="00F47EF5"/>
    <w:rsid w:val="00F501F8"/>
    <w:rsid w:val="00F50A94"/>
    <w:rsid w:val="00F5170F"/>
    <w:rsid w:val="00F53BA3"/>
    <w:rsid w:val="00F55658"/>
    <w:rsid w:val="00F567D7"/>
    <w:rsid w:val="00F612AA"/>
    <w:rsid w:val="00F6244D"/>
    <w:rsid w:val="00F65ABA"/>
    <w:rsid w:val="00F6702D"/>
    <w:rsid w:val="00F67A6F"/>
    <w:rsid w:val="00F70E9D"/>
    <w:rsid w:val="00F7326A"/>
    <w:rsid w:val="00F73DEC"/>
    <w:rsid w:val="00F743B1"/>
    <w:rsid w:val="00F757CC"/>
    <w:rsid w:val="00F83AEC"/>
    <w:rsid w:val="00F85215"/>
    <w:rsid w:val="00F85641"/>
    <w:rsid w:val="00F85F5B"/>
    <w:rsid w:val="00F86469"/>
    <w:rsid w:val="00F87036"/>
    <w:rsid w:val="00F91707"/>
    <w:rsid w:val="00F91874"/>
    <w:rsid w:val="00F938CC"/>
    <w:rsid w:val="00F96B0B"/>
    <w:rsid w:val="00F96B30"/>
    <w:rsid w:val="00FA02FA"/>
    <w:rsid w:val="00FA1E84"/>
    <w:rsid w:val="00FA1FCA"/>
    <w:rsid w:val="00FA3023"/>
    <w:rsid w:val="00FA4891"/>
    <w:rsid w:val="00FA51EE"/>
    <w:rsid w:val="00FA63C8"/>
    <w:rsid w:val="00FA7A32"/>
    <w:rsid w:val="00FB008C"/>
    <w:rsid w:val="00FB00F0"/>
    <w:rsid w:val="00FB0E9B"/>
    <w:rsid w:val="00FB1542"/>
    <w:rsid w:val="00FB26FF"/>
    <w:rsid w:val="00FB3A91"/>
    <w:rsid w:val="00FB450E"/>
    <w:rsid w:val="00FB71D8"/>
    <w:rsid w:val="00FB7556"/>
    <w:rsid w:val="00FC3391"/>
    <w:rsid w:val="00FC432C"/>
    <w:rsid w:val="00FC4D5A"/>
    <w:rsid w:val="00FC65F4"/>
    <w:rsid w:val="00FD1307"/>
    <w:rsid w:val="00FD21C4"/>
    <w:rsid w:val="00FD2379"/>
    <w:rsid w:val="00FD29AA"/>
    <w:rsid w:val="00FD30EA"/>
    <w:rsid w:val="00FD332C"/>
    <w:rsid w:val="00FD3CC4"/>
    <w:rsid w:val="00FD4019"/>
    <w:rsid w:val="00FD60AA"/>
    <w:rsid w:val="00FD60CD"/>
    <w:rsid w:val="00FE03D0"/>
    <w:rsid w:val="00FE090F"/>
    <w:rsid w:val="00FE270E"/>
    <w:rsid w:val="00FE2767"/>
    <w:rsid w:val="00FE39C0"/>
    <w:rsid w:val="00FE576B"/>
    <w:rsid w:val="00FE5A59"/>
    <w:rsid w:val="00FE6148"/>
    <w:rsid w:val="00FE6944"/>
    <w:rsid w:val="00FF0115"/>
    <w:rsid w:val="00FF347E"/>
    <w:rsid w:val="00FF4071"/>
    <w:rsid w:val="00FF5F2F"/>
    <w:rsid w:val="00FF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20DC"/>
  <w15:docId w15:val="{E40FDC6F-2BC4-4FDB-86C5-62F669F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F4B"/>
    <w:pPr>
      <w:suppressAutoHyphens/>
      <w:autoSpaceDN w:val="0"/>
      <w:spacing w:after="0" w:line="240" w:lineRule="auto"/>
      <w:textAlignment w:val="baseline"/>
    </w:pPr>
    <w:rPr>
      <w:rFonts w:ascii="Calibri" w:eastAsia="Calibri" w:hAnsi="Calibri" w:cs="Times New Roman"/>
    </w:rPr>
  </w:style>
  <w:style w:type="paragraph" w:styleId="Heading3">
    <w:name w:val="heading 3"/>
    <w:basedOn w:val="Normal"/>
    <w:next w:val="Normal"/>
    <w:link w:val="Heading3Char"/>
    <w:uiPriority w:val="9"/>
    <w:unhideWhenUsed/>
    <w:qFormat/>
    <w:rsid w:val="00161F2F"/>
    <w:pPr>
      <w:keepNext/>
      <w:keepLines/>
      <w:suppressAutoHyphens w:val="0"/>
      <w:autoSpaceDN/>
      <w:spacing w:before="40" w:line="259" w:lineRule="auto"/>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4F77"/>
    <w:pPr>
      <w:keepNext/>
      <w:keepLines/>
      <w:suppressAutoHyphens w:val="0"/>
      <w:autoSpaceDN/>
      <w:spacing w:before="40" w:line="259" w:lineRule="auto"/>
      <w:textAlignment w:val="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3FF"/>
    <w:pPr>
      <w:spacing w:after="0" w:line="240" w:lineRule="auto"/>
    </w:pPr>
  </w:style>
  <w:style w:type="paragraph" w:styleId="BalloonText">
    <w:name w:val="Balloon Text"/>
    <w:basedOn w:val="Normal"/>
    <w:link w:val="BalloonTextChar"/>
    <w:uiPriority w:val="99"/>
    <w:semiHidden/>
    <w:unhideWhenUsed/>
    <w:rsid w:val="004A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39B"/>
    <w:rPr>
      <w:rFonts w:ascii="Segoe UI" w:eastAsia="Calibri" w:hAnsi="Segoe UI" w:cs="Segoe UI"/>
      <w:sz w:val="18"/>
      <w:szCs w:val="18"/>
    </w:rPr>
  </w:style>
  <w:style w:type="table" w:styleId="TableGrid">
    <w:name w:val="Table Grid"/>
    <w:basedOn w:val="TableNormal"/>
    <w:uiPriority w:val="59"/>
    <w:rsid w:val="00A2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9E"/>
    <w:pPr>
      <w:suppressAutoHyphens w:val="0"/>
      <w:autoSpaceDN/>
      <w:spacing w:after="160" w:line="259" w:lineRule="auto"/>
      <w:ind w:left="720"/>
      <w:contextualSpacing/>
      <w:textAlignment w:val="auto"/>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161F2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7F3C4E"/>
    <w:pPr>
      <w:suppressAutoHyphens w:val="0"/>
      <w:autoSpaceDN/>
      <w:textAlignment w:val="auto"/>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7F3C4E"/>
    <w:rPr>
      <w:rFonts w:ascii="Arial" w:hAnsi="Arial" w:cs="Arial"/>
      <w:sz w:val="20"/>
      <w:szCs w:val="20"/>
    </w:rPr>
  </w:style>
  <w:style w:type="character" w:styleId="FootnoteReference">
    <w:name w:val="footnote reference"/>
    <w:basedOn w:val="DefaultParagraphFont"/>
    <w:uiPriority w:val="99"/>
    <w:semiHidden/>
    <w:unhideWhenUsed/>
    <w:rsid w:val="007F3C4E"/>
    <w:rPr>
      <w:vertAlign w:val="superscript"/>
    </w:rPr>
  </w:style>
  <w:style w:type="paragraph" w:styleId="NormalWeb">
    <w:name w:val="Normal (Web)"/>
    <w:basedOn w:val="Normal"/>
    <w:uiPriority w:val="99"/>
    <w:unhideWhenUsed/>
    <w:rsid w:val="00C54738"/>
    <w:pPr>
      <w:suppressAutoHyphens w:val="0"/>
      <w:autoSpaceDN/>
      <w:textAlignment w:val="auto"/>
    </w:pPr>
    <w:rPr>
      <w:rFonts w:eastAsiaTheme="minorHAnsi" w:cs="Calibri"/>
      <w:lang w:eastAsia="en-GB"/>
    </w:rPr>
  </w:style>
  <w:style w:type="character" w:customStyle="1" w:styleId="Heading4Char">
    <w:name w:val="Heading 4 Char"/>
    <w:basedOn w:val="DefaultParagraphFont"/>
    <w:link w:val="Heading4"/>
    <w:uiPriority w:val="9"/>
    <w:rsid w:val="00304F77"/>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D8645F"/>
    <w:pPr>
      <w:suppressAutoHyphens w:val="0"/>
      <w:autoSpaceDN/>
      <w:textAlignment w:val="auto"/>
    </w:pPr>
    <w:rPr>
      <w:rFonts w:eastAsia="Times New Roman"/>
      <w:szCs w:val="21"/>
    </w:rPr>
  </w:style>
  <w:style w:type="character" w:customStyle="1" w:styleId="PlainTextChar">
    <w:name w:val="Plain Text Char"/>
    <w:basedOn w:val="DefaultParagraphFont"/>
    <w:link w:val="PlainText"/>
    <w:uiPriority w:val="99"/>
    <w:rsid w:val="00D8645F"/>
    <w:rPr>
      <w:rFonts w:ascii="Calibri" w:eastAsia="Times New Roman" w:hAnsi="Calibri" w:cs="Times New Roman"/>
      <w:szCs w:val="21"/>
    </w:rPr>
  </w:style>
  <w:style w:type="paragraph" w:customStyle="1" w:styleId="xmsoplaintext">
    <w:name w:val="x_msoplaintext"/>
    <w:basedOn w:val="Normal"/>
    <w:uiPriority w:val="99"/>
    <w:rsid w:val="00C56348"/>
    <w:pPr>
      <w:suppressAutoHyphens w:val="0"/>
      <w:autoSpaceDN/>
      <w:textAlignment w:val="auto"/>
    </w:pPr>
    <w:rPr>
      <w:rFonts w:eastAsiaTheme="minorHAnsi" w:cs="Calibri"/>
      <w:lang w:eastAsia="en-GB"/>
    </w:rPr>
  </w:style>
  <w:style w:type="paragraph" w:styleId="CommentText">
    <w:name w:val="annotation text"/>
    <w:basedOn w:val="Normal"/>
    <w:link w:val="CommentTextChar"/>
    <w:uiPriority w:val="99"/>
    <w:unhideWhenUsed/>
    <w:rsid w:val="002A16EC"/>
    <w:rPr>
      <w:sz w:val="20"/>
      <w:szCs w:val="20"/>
    </w:rPr>
  </w:style>
  <w:style w:type="character" w:customStyle="1" w:styleId="CommentTextChar">
    <w:name w:val="Comment Text Char"/>
    <w:basedOn w:val="DefaultParagraphFont"/>
    <w:link w:val="CommentText"/>
    <w:uiPriority w:val="99"/>
    <w:rsid w:val="002A16E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844">
      <w:bodyDiv w:val="1"/>
      <w:marLeft w:val="0"/>
      <w:marRight w:val="0"/>
      <w:marTop w:val="0"/>
      <w:marBottom w:val="0"/>
      <w:divBdr>
        <w:top w:val="none" w:sz="0" w:space="0" w:color="auto"/>
        <w:left w:val="none" w:sz="0" w:space="0" w:color="auto"/>
        <w:bottom w:val="none" w:sz="0" w:space="0" w:color="auto"/>
        <w:right w:val="none" w:sz="0" w:space="0" w:color="auto"/>
      </w:divBdr>
    </w:div>
    <w:div w:id="399644483">
      <w:bodyDiv w:val="1"/>
      <w:marLeft w:val="0"/>
      <w:marRight w:val="0"/>
      <w:marTop w:val="0"/>
      <w:marBottom w:val="0"/>
      <w:divBdr>
        <w:top w:val="none" w:sz="0" w:space="0" w:color="auto"/>
        <w:left w:val="none" w:sz="0" w:space="0" w:color="auto"/>
        <w:bottom w:val="none" w:sz="0" w:space="0" w:color="auto"/>
        <w:right w:val="none" w:sz="0" w:space="0" w:color="auto"/>
      </w:divBdr>
    </w:div>
    <w:div w:id="484979941">
      <w:bodyDiv w:val="1"/>
      <w:marLeft w:val="0"/>
      <w:marRight w:val="0"/>
      <w:marTop w:val="0"/>
      <w:marBottom w:val="0"/>
      <w:divBdr>
        <w:top w:val="none" w:sz="0" w:space="0" w:color="auto"/>
        <w:left w:val="none" w:sz="0" w:space="0" w:color="auto"/>
        <w:bottom w:val="none" w:sz="0" w:space="0" w:color="auto"/>
        <w:right w:val="none" w:sz="0" w:space="0" w:color="auto"/>
      </w:divBdr>
    </w:div>
    <w:div w:id="508907670">
      <w:bodyDiv w:val="1"/>
      <w:marLeft w:val="0"/>
      <w:marRight w:val="0"/>
      <w:marTop w:val="0"/>
      <w:marBottom w:val="0"/>
      <w:divBdr>
        <w:top w:val="none" w:sz="0" w:space="0" w:color="auto"/>
        <w:left w:val="none" w:sz="0" w:space="0" w:color="auto"/>
        <w:bottom w:val="none" w:sz="0" w:space="0" w:color="auto"/>
        <w:right w:val="none" w:sz="0" w:space="0" w:color="auto"/>
      </w:divBdr>
    </w:div>
    <w:div w:id="552429037">
      <w:bodyDiv w:val="1"/>
      <w:marLeft w:val="0"/>
      <w:marRight w:val="0"/>
      <w:marTop w:val="0"/>
      <w:marBottom w:val="0"/>
      <w:divBdr>
        <w:top w:val="none" w:sz="0" w:space="0" w:color="auto"/>
        <w:left w:val="none" w:sz="0" w:space="0" w:color="auto"/>
        <w:bottom w:val="none" w:sz="0" w:space="0" w:color="auto"/>
        <w:right w:val="none" w:sz="0" w:space="0" w:color="auto"/>
      </w:divBdr>
    </w:div>
    <w:div w:id="626860182">
      <w:bodyDiv w:val="1"/>
      <w:marLeft w:val="0"/>
      <w:marRight w:val="0"/>
      <w:marTop w:val="0"/>
      <w:marBottom w:val="0"/>
      <w:divBdr>
        <w:top w:val="none" w:sz="0" w:space="0" w:color="auto"/>
        <w:left w:val="none" w:sz="0" w:space="0" w:color="auto"/>
        <w:bottom w:val="none" w:sz="0" w:space="0" w:color="auto"/>
        <w:right w:val="none" w:sz="0" w:space="0" w:color="auto"/>
      </w:divBdr>
    </w:div>
    <w:div w:id="653071138">
      <w:bodyDiv w:val="1"/>
      <w:marLeft w:val="0"/>
      <w:marRight w:val="0"/>
      <w:marTop w:val="0"/>
      <w:marBottom w:val="0"/>
      <w:divBdr>
        <w:top w:val="none" w:sz="0" w:space="0" w:color="auto"/>
        <w:left w:val="none" w:sz="0" w:space="0" w:color="auto"/>
        <w:bottom w:val="none" w:sz="0" w:space="0" w:color="auto"/>
        <w:right w:val="none" w:sz="0" w:space="0" w:color="auto"/>
      </w:divBdr>
    </w:div>
    <w:div w:id="722100343">
      <w:bodyDiv w:val="1"/>
      <w:marLeft w:val="0"/>
      <w:marRight w:val="0"/>
      <w:marTop w:val="0"/>
      <w:marBottom w:val="0"/>
      <w:divBdr>
        <w:top w:val="none" w:sz="0" w:space="0" w:color="auto"/>
        <w:left w:val="none" w:sz="0" w:space="0" w:color="auto"/>
        <w:bottom w:val="none" w:sz="0" w:space="0" w:color="auto"/>
        <w:right w:val="none" w:sz="0" w:space="0" w:color="auto"/>
      </w:divBdr>
    </w:div>
    <w:div w:id="767040989">
      <w:bodyDiv w:val="1"/>
      <w:marLeft w:val="0"/>
      <w:marRight w:val="0"/>
      <w:marTop w:val="0"/>
      <w:marBottom w:val="0"/>
      <w:divBdr>
        <w:top w:val="none" w:sz="0" w:space="0" w:color="auto"/>
        <w:left w:val="none" w:sz="0" w:space="0" w:color="auto"/>
        <w:bottom w:val="none" w:sz="0" w:space="0" w:color="auto"/>
        <w:right w:val="none" w:sz="0" w:space="0" w:color="auto"/>
      </w:divBdr>
    </w:div>
    <w:div w:id="789544097">
      <w:bodyDiv w:val="1"/>
      <w:marLeft w:val="0"/>
      <w:marRight w:val="0"/>
      <w:marTop w:val="0"/>
      <w:marBottom w:val="0"/>
      <w:divBdr>
        <w:top w:val="none" w:sz="0" w:space="0" w:color="auto"/>
        <w:left w:val="none" w:sz="0" w:space="0" w:color="auto"/>
        <w:bottom w:val="none" w:sz="0" w:space="0" w:color="auto"/>
        <w:right w:val="none" w:sz="0" w:space="0" w:color="auto"/>
      </w:divBdr>
    </w:div>
    <w:div w:id="850294615">
      <w:bodyDiv w:val="1"/>
      <w:marLeft w:val="0"/>
      <w:marRight w:val="0"/>
      <w:marTop w:val="0"/>
      <w:marBottom w:val="0"/>
      <w:divBdr>
        <w:top w:val="none" w:sz="0" w:space="0" w:color="auto"/>
        <w:left w:val="none" w:sz="0" w:space="0" w:color="auto"/>
        <w:bottom w:val="none" w:sz="0" w:space="0" w:color="auto"/>
        <w:right w:val="none" w:sz="0" w:space="0" w:color="auto"/>
      </w:divBdr>
    </w:div>
    <w:div w:id="1117064226">
      <w:bodyDiv w:val="1"/>
      <w:marLeft w:val="0"/>
      <w:marRight w:val="0"/>
      <w:marTop w:val="0"/>
      <w:marBottom w:val="0"/>
      <w:divBdr>
        <w:top w:val="none" w:sz="0" w:space="0" w:color="auto"/>
        <w:left w:val="none" w:sz="0" w:space="0" w:color="auto"/>
        <w:bottom w:val="none" w:sz="0" w:space="0" w:color="auto"/>
        <w:right w:val="none" w:sz="0" w:space="0" w:color="auto"/>
      </w:divBdr>
    </w:div>
    <w:div w:id="1382482067">
      <w:bodyDiv w:val="1"/>
      <w:marLeft w:val="0"/>
      <w:marRight w:val="0"/>
      <w:marTop w:val="0"/>
      <w:marBottom w:val="0"/>
      <w:divBdr>
        <w:top w:val="none" w:sz="0" w:space="0" w:color="auto"/>
        <w:left w:val="none" w:sz="0" w:space="0" w:color="auto"/>
        <w:bottom w:val="none" w:sz="0" w:space="0" w:color="auto"/>
        <w:right w:val="none" w:sz="0" w:space="0" w:color="auto"/>
      </w:divBdr>
    </w:div>
    <w:div w:id="1457604911">
      <w:bodyDiv w:val="1"/>
      <w:marLeft w:val="0"/>
      <w:marRight w:val="0"/>
      <w:marTop w:val="0"/>
      <w:marBottom w:val="0"/>
      <w:divBdr>
        <w:top w:val="none" w:sz="0" w:space="0" w:color="auto"/>
        <w:left w:val="none" w:sz="0" w:space="0" w:color="auto"/>
        <w:bottom w:val="none" w:sz="0" w:space="0" w:color="auto"/>
        <w:right w:val="none" w:sz="0" w:space="0" w:color="auto"/>
      </w:divBdr>
    </w:div>
    <w:div w:id="1940793012">
      <w:bodyDiv w:val="1"/>
      <w:marLeft w:val="0"/>
      <w:marRight w:val="0"/>
      <w:marTop w:val="0"/>
      <w:marBottom w:val="0"/>
      <w:divBdr>
        <w:top w:val="none" w:sz="0" w:space="0" w:color="auto"/>
        <w:left w:val="none" w:sz="0" w:space="0" w:color="auto"/>
        <w:bottom w:val="none" w:sz="0" w:space="0" w:color="auto"/>
        <w:right w:val="none" w:sz="0" w:space="0" w:color="auto"/>
      </w:divBdr>
    </w:div>
    <w:div w:id="21161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1E1C-FF37-4F3C-9B67-F0693F0B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3336</TotalTime>
  <Pages>18</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Smith</dc:creator>
  <cp:lastModifiedBy>Robert</cp:lastModifiedBy>
  <cp:revision>853</cp:revision>
  <cp:lastPrinted>2018-03-06T12:24:00Z</cp:lastPrinted>
  <dcterms:created xsi:type="dcterms:W3CDTF">2018-11-09T16:39:00Z</dcterms:created>
  <dcterms:modified xsi:type="dcterms:W3CDTF">2021-03-24T11:17:00Z</dcterms:modified>
</cp:coreProperties>
</file>