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0E51DD9F"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903814">
        <w:rPr>
          <w:rFonts w:ascii="Verdana" w:hAnsi="Verdana"/>
          <w:b/>
        </w:rPr>
        <w:t>12 October</w:t>
      </w:r>
      <w:r w:rsidR="00D97238">
        <w:rPr>
          <w:rFonts w:ascii="Verdana" w:hAnsi="Verdana"/>
          <w:b/>
        </w:rPr>
        <w:t xml:space="preserve"> 2021</w:t>
      </w:r>
    </w:p>
    <w:p w14:paraId="13502499" w14:textId="77777777" w:rsidR="00D1116E" w:rsidRDefault="00D1116E" w:rsidP="00D1116E">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1668"/>
        <w:gridCol w:w="7796"/>
      </w:tblGrid>
      <w:tr w:rsidR="00D1116E" w14:paraId="1350249E" w14:textId="77777777" w:rsidTr="00CA24A9">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21B4AFCC" w:rsidR="00D1116E" w:rsidRDefault="004905EB" w:rsidP="00CE49FA">
            <w:pPr>
              <w:rPr>
                <w:rFonts w:ascii="Verdana" w:hAnsi="Verdana"/>
              </w:rPr>
            </w:pPr>
            <w:r>
              <w:rPr>
                <w:rFonts w:ascii="Verdana" w:hAnsi="Verdana"/>
              </w:rPr>
              <w:t>Alan Wells</w:t>
            </w:r>
            <w:r w:rsidR="00B046C1">
              <w:rPr>
                <w:rFonts w:ascii="Verdana" w:hAnsi="Verdana"/>
              </w:rPr>
              <w:t xml:space="preserve"> </w:t>
            </w:r>
            <w:r>
              <w:rPr>
                <w:rFonts w:ascii="Verdana" w:hAnsi="Verdana"/>
              </w:rPr>
              <w:t>(</w:t>
            </w:r>
            <w:r w:rsidR="00B046C1">
              <w:rPr>
                <w:rFonts w:ascii="Verdana" w:hAnsi="Verdana"/>
              </w:rPr>
              <w:t xml:space="preserve">Chair of the Corporation), </w:t>
            </w:r>
            <w:r w:rsidR="002F226A">
              <w:rPr>
                <w:rFonts w:ascii="Verdana" w:hAnsi="Verdana"/>
              </w:rPr>
              <w:t xml:space="preserve">Alastair Owens (Senior Vice-Chair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 xml:space="preserve">), </w:t>
            </w:r>
            <w:r w:rsidR="00470CC5">
              <w:rPr>
                <w:rFonts w:ascii="Verdana" w:hAnsi="Verdana"/>
              </w:rPr>
              <w:t>Riddhi Bhalla (Vice-Chair of the Corporation</w:t>
            </w:r>
            <w:r w:rsidR="00665567">
              <w:rPr>
                <w:rFonts w:ascii="Verdana" w:hAnsi="Verdana"/>
              </w:rPr>
              <w:t xml:space="preserve"> and Chair of the Audit Committee</w:t>
            </w:r>
            <w:r w:rsidR="00470CC5">
              <w:rPr>
                <w:rFonts w:ascii="Verdana" w:hAnsi="Verdana"/>
              </w:rPr>
              <w:t xml:space="preserve">), </w:t>
            </w:r>
            <w:r w:rsidR="00903814">
              <w:rPr>
                <w:rFonts w:ascii="Verdana" w:hAnsi="Verdana"/>
              </w:rPr>
              <w:t xml:space="preserve">Jonathan Bush (Vice-Chair of the Corporation and Chair of the Resources Committee), </w:t>
            </w:r>
            <w:r w:rsidR="00B7723E">
              <w:rPr>
                <w:rFonts w:ascii="Verdana" w:hAnsi="Verdana"/>
              </w:rPr>
              <w:t xml:space="preserve">Kwame Atta, </w:t>
            </w:r>
            <w:r w:rsidR="00903814">
              <w:rPr>
                <w:rFonts w:ascii="Verdana" w:hAnsi="Verdana"/>
              </w:rPr>
              <w:t xml:space="preserve">Adenike Betiku, </w:t>
            </w:r>
            <w:r w:rsidR="00921F35">
              <w:rPr>
                <w:rFonts w:ascii="Verdana" w:hAnsi="Verdana"/>
              </w:rPr>
              <w:t>Talia Chirouf,</w:t>
            </w:r>
            <w:r w:rsidR="008902C2">
              <w:rPr>
                <w:rFonts w:ascii="Verdana" w:hAnsi="Verdana"/>
              </w:rPr>
              <w:t xml:space="preserve"> </w:t>
            </w:r>
            <w:r w:rsidR="00FC2A98">
              <w:rPr>
                <w:rFonts w:ascii="Verdana" w:hAnsi="Verdana"/>
              </w:rPr>
              <w:t>Tom Foakes (Chair of the Governance and Nominations Committee)</w:t>
            </w:r>
            <w:r>
              <w:rPr>
                <w:rFonts w:ascii="Verdana" w:hAnsi="Verdana"/>
              </w:rPr>
              <w:t xml:space="preserve">, </w:t>
            </w:r>
            <w:r w:rsidR="006970D3">
              <w:rPr>
                <w:rFonts w:ascii="Verdana" w:hAnsi="Verdana"/>
              </w:rPr>
              <w:t xml:space="preserve">Nehendra Jonas (Student Member), </w:t>
            </w:r>
            <w:r w:rsidR="00921F35">
              <w:rPr>
                <w:rFonts w:ascii="Verdana" w:hAnsi="Verdana"/>
              </w:rPr>
              <w:t>Stephen Jones,</w:t>
            </w:r>
            <w:r w:rsidR="003B593D">
              <w:rPr>
                <w:rFonts w:ascii="Verdana" w:hAnsi="Verdana"/>
              </w:rPr>
              <w:t xml:space="preserve"> </w:t>
            </w:r>
            <w:r w:rsidR="00E71694">
              <w:rPr>
                <w:rFonts w:ascii="Verdana" w:hAnsi="Verdana"/>
              </w:rPr>
              <w:t xml:space="preserve">Farhana Juhera (Support Staff Member), </w:t>
            </w:r>
            <w:r w:rsidR="001E2BF2">
              <w:rPr>
                <w:rFonts w:ascii="Verdana" w:hAnsi="Verdana"/>
              </w:rPr>
              <w:t xml:space="preserve">Jagdev Kenth, </w:t>
            </w:r>
            <w:r>
              <w:rPr>
                <w:rFonts w:ascii="Verdana" w:hAnsi="Verdana"/>
              </w:rPr>
              <w:t>Maurine Lewin,</w:t>
            </w:r>
            <w:r w:rsidR="008902C2">
              <w:rPr>
                <w:rFonts w:ascii="Verdana" w:hAnsi="Verdana"/>
              </w:rPr>
              <w:t xml:space="preserve"> Stewart Maclean</w:t>
            </w:r>
            <w:r w:rsidR="00315091">
              <w:rPr>
                <w:rFonts w:ascii="Verdana" w:hAnsi="Verdana"/>
              </w:rPr>
              <w:t xml:space="preserve"> (Chair of the External Relations Committee)</w:t>
            </w:r>
            <w:r w:rsidR="008902C2">
              <w:rPr>
                <w:rFonts w:ascii="Verdana" w:hAnsi="Verdana"/>
              </w:rPr>
              <w:t>,</w:t>
            </w:r>
            <w:r w:rsidR="00921F35">
              <w:rPr>
                <w:rFonts w:ascii="Verdana" w:hAnsi="Verdana"/>
              </w:rPr>
              <w:t xml:space="preserve"> </w:t>
            </w:r>
            <w:r w:rsidR="00795987">
              <w:rPr>
                <w:rFonts w:ascii="Verdana" w:hAnsi="Verdana"/>
              </w:rPr>
              <w:t>Nazia Shah (Teaching Staff Member)</w:t>
            </w:r>
            <w:r w:rsidR="00470CC5">
              <w:rPr>
                <w:rFonts w:ascii="Verdana" w:hAnsi="Verdana"/>
              </w:rPr>
              <w:t>,</w:t>
            </w:r>
            <w:r w:rsidR="008460A2">
              <w:rPr>
                <w:rFonts w:ascii="Verdana" w:hAnsi="Verdana"/>
              </w:rPr>
              <w:t xml:space="preserve"> </w:t>
            </w:r>
            <w:r w:rsidR="00470CC5">
              <w:rPr>
                <w:rFonts w:ascii="Verdana" w:hAnsi="Verdana"/>
              </w:rPr>
              <w:t>David Vasse (Principal)</w:t>
            </w:r>
            <w:r w:rsidR="00871A54">
              <w:rPr>
                <w:rFonts w:ascii="Verdana" w:hAnsi="Verdana"/>
              </w:rPr>
              <w:t xml:space="preserve">, </w:t>
            </w:r>
            <w:r w:rsidR="00903814">
              <w:rPr>
                <w:rFonts w:ascii="Verdana" w:hAnsi="Verdana"/>
              </w:rPr>
              <w:t>Sara Whittaker</w:t>
            </w:r>
            <w:r w:rsidR="00921F35">
              <w:rPr>
                <w:rFonts w:ascii="Verdana" w:hAnsi="Verdana"/>
              </w:rPr>
              <w:t>.</w:t>
            </w:r>
            <w:r w:rsidR="00B7723E">
              <w:rPr>
                <w:rFonts w:ascii="Verdana" w:hAnsi="Verdana"/>
              </w:rPr>
              <w:t xml:space="preserve"> </w:t>
            </w:r>
          </w:p>
          <w:p w14:paraId="1350249D" w14:textId="65333B17" w:rsidR="00CE49FA" w:rsidRDefault="00CE49FA" w:rsidP="00CE49FA">
            <w:pPr>
              <w:rPr>
                <w:rFonts w:ascii="Verdana" w:hAnsi="Verdana"/>
              </w:rPr>
            </w:pPr>
          </w:p>
        </w:tc>
      </w:tr>
      <w:tr w:rsidR="00C177F5" w14:paraId="6D0440AA" w14:textId="77777777" w:rsidTr="00CA24A9">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0611E407" w:rsidR="005B2D41" w:rsidRDefault="00C177F5" w:rsidP="00EA398D">
            <w:pPr>
              <w:rPr>
                <w:rFonts w:ascii="Verdana" w:hAnsi="Verdana"/>
              </w:rPr>
            </w:pPr>
            <w:r>
              <w:rPr>
                <w:rFonts w:ascii="Verdana" w:hAnsi="Verdana"/>
              </w:rPr>
              <w:t xml:space="preserve">Holly </w:t>
            </w:r>
            <w:r w:rsidR="00470CC5">
              <w:rPr>
                <w:rFonts w:ascii="Verdana" w:hAnsi="Verdana"/>
              </w:rPr>
              <w:t>Bembridge (Vice-</w:t>
            </w:r>
            <w:r w:rsidR="002C6EDC">
              <w:rPr>
                <w:rFonts w:ascii="Verdana" w:hAnsi="Verdana"/>
              </w:rPr>
              <w:t>Principal: Curriculum</w:t>
            </w:r>
            <w:r w:rsidR="001B7CA4">
              <w:rPr>
                <w:rFonts w:ascii="Verdana" w:hAnsi="Verdana"/>
              </w:rPr>
              <w:t xml:space="preserve"> </w:t>
            </w:r>
            <w:r w:rsidR="00B02709">
              <w:rPr>
                <w:rFonts w:ascii="Verdana" w:hAnsi="Verdana"/>
              </w:rPr>
              <w:t>and</w:t>
            </w:r>
            <w:r w:rsidR="001B7CA4">
              <w:rPr>
                <w:rFonts w:ascii="Verdana" w:hAnsi="Verdana"/>
              </w:rPr>
              <w:t xml:space="preserve"> Quality</w:t>
            </w:r>
            <w:r w:rsidR="002C6EDC">
              <w:rPr>
                <w:rFonts w:ascii="Verdana" w:hAnsi="Verdana"/>
              </w:rPr>
              <w:t>)</w:t>
            </w:r>
            <w:r w:rsidR="0025633D">
              <w:rPr>
                <w:rFonts w:ascii="Verdana" w:hAnsi="Verdana"/>
              </w:rPr>
              <w:t xml:space="preserve">, James Gould (Vice-Principal: </w:t>
            </w:r>
            <w:r w:rsidR="00200ED4" w:rsidRPr="00FE7EDC">
              <w:rPr>
                <w:rFonts w:ascii="Verdana" w:hAnsi="Verdana"/>
              </w:rPr>
              <w:t>Student S</w:t>
            </w:r>
            <w:r w:rsidR="00200ED4">
              <w:rPr>
                <w:rFonts w:ascii="Verdana" w:hAnsi="Verdana"/>
              </w:rPr>
              <w:t>ervices and Recruitment</w:t>
            </w:r>
            <w:r w:rsidR="00261FA3">
              <w:rPr>
                <w:rFonts w:ascii="Verdana" w:hAnsi="Verdana"/>
              </w:rPr>
              <w:t>)</w:t>
            </w:r>
            <w:r w:rsidR="007821BE">
              <w:rPr>
                <w:rFonts w:ascii="Verdana" w:hAnsi="Verdana"/>
              </w:rPr>
              <w:t>, Robert Smith (Clerk to the Corporation)</w:t>
            </w:r>
            <w:r w:rsidR="00261FA3">
              <w:rPr>
                <w:rFonts w:ascii="Verdana" w:hAnsi="Verdana"/>
              </w:rPr>
              <w:t>.</w:t>
            </w:r>
          </w:p>
        </w:tc>
      </w:tr>
    </w:tbl>
    <w:p w14:paraId="135024A2" w14:textId="77777777" w:rsidR="00D1116E" w:rsidRDefault="00D1116E" w:rsidP="00D1116E"/>
    <w:tbl>
      <w:tblPr>
        <w:tblW w:w="9464" w:type="dxa"/>
        <w:tblCellMar>
          <w:left w:w="10" w:type="dxa"/>
          <w:right w:w="10" w:type="dxa"/>
        </w:tblCellMar>
        <w:tblLook w:val="0000" w:firstRow="0" w:lastRow="0" w:firstColumn="0" w:lastColumn="0" w:noHBand="0" w:noVBand="0"/>
      </w:tblPr>
      <w:tblGrid>
        <w:gridCol w:w="675"/>
        <w:gridCol w:w="8789"/>
      </w:tblGrid>
      <w:tr w:rsidR="00815C1E" w14:paraId="7D51BB91" w14:textId="77777777" w:rsidTr="00B23725">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76F5C067" w:rsidR="00815C1E" w:rsidRDefault="00815C1E" w:rsidP="00815C1E">
            <w:pPr>
              <w:rPr>
                <w:rFonts w:ascii="Verdana" w:hAnsi="Verdana"/>
                <w:b/>
              </w:rPr>
            </w:pPr>
            <w:r>
              <w:rPr>
                <w:rFonts w:ascii="Verdana" w:hAnsi="Verdana"/>
                <w:b/>
              </w:rPr>
              <w:t>Apologies for Absence and Quoracy</w:t>
            </w:r>
          </w:p>
          <w:p w14:paraId="17A7E55C" w14:textId="77777777" w:rsidR="00815C1E" w:rsidRDefault="00815C1E" w:rsidP="00815C1E">
            <w:pPr>
              <w:rPr>
                <w:rFonts w:ascii="Verdana" w:hAnsi="Verdana"/>
                <w:b/>
              </w:rPr>
            </w:pPr>
          </w:p>
          <w:p w14:paraId="108A565A" w14:textId="7206978A" w:rsidR="00815C1E" w:rsidRDefault="00815C1E" w:rsidP="00815C1E">
            <w:pPr>
              <w:rPr>
                <w:rFonts w:ascii="Verdana" w:hAnsi="Verdana"/>
              </w:rPr>
            </w:pPr>
            <w:r>
              <w:rPr>
                <w:rFonts w:ascii="Verdana" w:hAnsi="Verdana"/>
              </w:rPr>
              <w:t>The meeting was quorate.</w:t>
            </w:r>
          </w:p>
          <w:p w14:paraId="6FED4A8B" w14:textId="6B2F3740" w:rsidR="00261FA3" w:rsidRPr="00815C1E" w:rsidRDefault="00261FA3" w:rsidP="006970D3">
            <w:pPr>
              <w:rPr>
                <w:rFonts w:ascii="Verdana" w:hAnsi="Verdana"/>
              </w:rPr>
            </w:pPr>
          </w:p>
        </w:tc>
      </w:tr>
      <w:tr w:rsidR="00815C1E" w14:paraId="135024A8" w14:textId="77777777" w:rsidTr="00B23725">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3A5A011F" w14:textId="578B5E33" w:rsidR="00C86CAD" w:rsidRDefault="005D70A6" w:rsidP="0091274C">
            <w:pPr>
              <w:rPr>
                <w:rFonts w:ascii="Verdana" w:hAnsi="Verdana"/>
              </w:rPr>
            </w:pPr>
            <w:r>
              <w:rPr>
                <w:rFonts w:ascii="Verdana" w:hAnsi="Verdana"/>
              </w:rPr>
              <w:t>None.</w:t>
            </w:r>
          </w:p>
          <w:p w14:paraId="135024A7" w14:textId="0785FD7B" w:rsidR="00C86CAD" w:rsidRDefault="00C86CAD" w:rsidP="0091274C">
            <w:pPr>
              <w:rPr>
                <w:rFonts w:ascii="Verdana" w:hAnsi="Verdana"/>
              </w:rPr>
            </w:pPr>
          </w:p>
        </w:tc>
      </w:tr>
      <w:tr w:rsidR="00BC601B" w14:paraId="46C816E8" w14:textId="77777777" w:rsidTr="00B23725">
        <w:tc>
          <w:tcPr>
            <w:tcW w:w="675" w:type="dxa"/>
            <w:shd w:val="clear" w:color="auto" w:fill="auto"/>
            <w:tcMar>
              <w:top w:w="0" w:type="dxa"/>
              <w:left w:w="108" w:type="dxa"/>
              <w:bottom w:w="0" w:type="dxa"/>
              <w:right w:w="108" w:type="dxa"/>
            </w:tcMar>
          </w:tcPr>
          <w:p w14:paraId="13555D80" w14:textId="226C5485" w:rsidR="00BC601B" w:rsidRDefault="00D97238"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7BF47AE3" w14:textId="659DCCBD" w:rsidR="003E7098" w:rsidRDefault="00BC601B" w:rsidP="00BC601B">
            <w:pPr>
              <w:rPr>
                <w:rFonts w:ascii="Verdana" w:hAnsi="Verdana"/>
                <w:b/>
              </w:rPr>
            </w:pPr>
            <w:r w:rsidRPr="003E7098">
              <w:rPr>
                <w:rFonts w:ascii="Verdana" w:hAnsi="Verdana"/>
                <w:b/>
              </w:rPr>
              <w:t xml:space="preserve">Draft Minutes of the Previous Meeting (Ordinary Business): </w:t>
            </w:r>
            <w:r w:rsidR="00903814">
              <w:rPr>
                <w:rFonts w:ascii="Verdana" w:hAnsi="Verdana"/>
                <w:b/>
              </w:rPr>
              <w:t>6 July</w:t>
            </w:r>
            <w:r w:rsidR="006970D3">
              <w:rPr>
                <w:rFonts w:ascii="Verdana" w:hAnsi="Verdana"/>
                <w:b/>
              </w:rPr>
              <w:t xml:space="preserve"> 2021</w:t>
            </w:r>
          </w:p>
          <w:p w14:paraId="393D7B0A" w14:textId="77777777" w:rsidR="006970D3" w:rsidRDefault="006970D3" w:rsidP="00BC601B">
            <w:pPr>
              <w:rPr>
                <w:rFonts w:ascii="Verdana" w:hAnsi="Verdana"/>
                <w:i/>
              </w:rPr>
            </w:pPr>
          </w:p>
          <w:p w14:paraId="6BFEE3B9" w14:textId="0C1DEA37"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3E5A">
              <w:rPr>
                <w:rFonts w:ascii="Verdana" w:hAnsi="Verdana"/>
              </w:rPr>
              <w:t>been</w:t>
            </w:r>
            <w:r w:rsidR="007821BE">
              <w:rPr>
                <w:rFonts w:ascii="Verdana" w:hAnsi="Verdana"/>
              </w:rPr>
              <w:t xml:space="preserve"> approved for</w:t>
            </w:r>
            <w:r w:rsidR="003C3E5A">
              <w:rPr>
                <w:rFonts w:ascii="Verdana" w:hAnsi="Verdana"/>
              </w:rPr>
              <w:t xml:space="preserve"> circulat</w:t>
            </w:r>
            <w:r w:rsidR="007821BE">
              <w:rPr>
                <w:rFonts w:ascii="Verdana" w:hAnsi="Verdana"/>
              </w:rPr>
              <w:t>ion</w:t>
            </w:r>
            <w:r w:rsidRPr="00CA1B35">
              <w:rPr>
                <w:rFonts w:ascii="Verdana" w:hAnsi="Verdana"/>
              </w:rPr>
              <w:t xml:space="preserve"> by the Chair of the Corporation.</w:t>
            </w:r>
          </w:p>
          <w:p w14:paraId="2C7325D9" w14:textId="77777777" w:rsidR="00BC601B" w:rsidRPr="00CA1B35" w:rsidRDefault="00BC601B" w:rsidP="00BC601B">
            <w:pPr>
              <w:rPr>
                <w:rFonts w:ascii="Verdana" w:hAnsi="Verdana"/>
              </w:rPr>
            </w:pPr>
          </w:p>
          <w:p w14:paraId="587FB033" w14:textId="0BF3602D" w:rsidR="00BC601B" w:rsidRDefault="003309A6" w:rsidP="00BC601B">
            <w:pPr>
              <w:rPr>
                <w:rFonts w:ascii="Verdana" w:hAnsi="Verdana"/>
              </w:rPr>
            </w:pPr>
            <w:r>
              <w:rPr>
                <w:rFonts w:ascii="Verdana" w:hAnsi="Verdana"/>
              </w:rPr>
              <w:t>T</w:t>
            </w:r>
            <w:r w:rsidR="00BC601B">
              <w:rPr>
                <w:rFonts w:ascii="Verdana" w:hAnsi="Verdana"/>
              </w:rPr>
              <w:t>hey were approved</w:t>
            </w:r>
            <w:r w:rsidR="00BC601B" w:rsidRPr="00CA1B35">
              <w:rPr>
                <w:rFonts w:ascii="Verdana" w:hAnsi="Verdana"/>
              </w:rPr>
              <w:t xml:space="preserve"> as a correct record of the business transacted and </w:t>
            </w:r>
            <w:r w:rsidR="00BC601B" w:rsidRPr="00CA1B35">
              <w:rPr>
                <w:rFonts w:ascii="Verdana" w:hAnsi="Verdana"/>
                <w:i/>
              </w:rPr>
              <w:t>prima facie</w:t>
            </w:r>
            <w:r w:rsidR="00BC601B" w:rsidRPr="00CA1B35">
              <w:rPr>
                <w:rFonts w:ascii="Verdana" w:hAnsi="Verdana"/>
              </w:rPr>
              <w:t xml:space="preserve"> evidence of the proceedings to which they relate.</w:t>
            </w:r>
          </w:p>
          <w:p w14:paraId="4CF0A3C8" w14:textId="4396D475" w:rsidR="00FF3864" w:rsidRDefault="00FF3864" w:rsidP="00815C1E">
            <w:pPr>
              <w:pStyle w:val="NoSpacing"/>
              <w:rPr>
                <w:b/>
              </w:rPr>
            </w:pPr>
          </w:p>
        </w:tc>
      </w:tr>
      <w:tr w:rsidR="00815C1E" w14:paraId="135024B0" w14:textId="77777777" w:rsidTr="00B23725">
        <w:tc>
          <w:tcPr>
            <w:tcW w:w="675" w:type="dxa"/>
            <w:shd w:val="clear" w:color="auto" w:fill="auto"/>
            <w:tcMar>
              <w:top w:w="0" w:type="dxa"/>
              <w:left w:w="108" w:type="dxa"/>
              <w:bottom w:w="0" w:type="dxa"/>
              <w:right w:w="108" w:type="dxa"/>
            </w:tcMar>
          </w:tcPr>
          <w:p w14:paraId="135024A9" w14:textId="7EFA2081" w:rsidR="00815C1E" w:rsidRDefault="00D97238" w:rsidP="00815C1E">
            <w:pPr>
              <w:rPr>
                <w:rFonts w:ascii="Verdana" w:hAnsi="Verdana"/>
                <w:b/>
              </w:rPr>
            </w:pPr>
            <w:r>
              <w:rPr>
                <w:rFonts w:ascii="Verdana" w:hAnsi="Verdana"/>
                <w:b/>
              </w:rPr>
              <w:t>4</w:t>
            </w:r>
          </w:p>
        </w:tc>
        <w:tc>
          <w:tcPr>
            <w:tcW w:w="8789" w:type="dxa"/>
            <w:shd w:val="clear" w:color="auto" w:fill="auto"/>
            <w:tcMar>
              <w:top w:w="0" w:type="dxa"/>
              <w:left w:w="108" w:type="dxa"/>
              <w:bottom w:w="0" w:type="dxa"/>
              <w:right w:w="108" w:type="dxa"/>
            </w:tcMar>
          </w:tcPr>
          <w:p w14:paraId="58E11E22" w14:textId="2BDAF2AC" w:rsidR="00BC601B" w:rsidRDefault="00BC601B" w:rsidP="00BC601B">
            <w:pPr>
              <w:rPr>
                <w:rFonts w:ascii="Verdana" w:hAnsi="Verdana"/>
                <w:b/>
              </w:rPr>
            </w:pPr>
            <w:r w:rsidRPr="003E7098">
              <w:rPr>
                <w:rFonts w:ascii="Verdana" w:hAnsi="Verdana"/>
                <w:b/>
              </w:rPr>
              <w:t xml:space="preserve">Matters Arising from the Draft Minutes (Ordinary Business): </w:t>
            </w:r>
            <w:r w:rsidR="00903814">
              <w:rPr>
                <w:rFonts w:ascii="Verdana" w:hAnsi="Verdana"/>
                <w:b/>
              </w:rPr>
              <w:t>6 July</w:t>
            </w:r>
            <w:r w:rsidR="008902C2">
              <w:rPr>
                <w:rFonts w:ascii="Verdana" w:hAnsi="Verdana"/>
                <w:b/>
              </w:rPr>
              <w:t xml:space="preserve"> 2021</w:t>
            </w:r>
          </w:p>
          <w:p w14:paraId="5D8148F7" w14:textId="43D92530" w:rsidR="00A865B6" w:rsidRDefault="00A865B6" w:rsidP="00BC601B">
            <w:pPr>
              <w:rPr>
                <w:rFonts w:ascii="Verdana" w:hAnsi="Verdana"/>
                <w:bCs/>
              </w:rPr>
            </w:pPr>
          </w:p>
          <w:p w14:paraId="796314B1" w14:textId="77777777" w:rsidR="00903814" w:rsidRDefault="00903814" w:rsidP="00BC601B">
            <w:pPr>
              <w:rPr>
                <w:rFonts w:ascii="Verdana" w:hAnsi="Verdana"/>
              </w:rPr>
            </w:pPr>
            <w:r>
              <w:rPr>
                <w:rFonts w:ascii="Verdana" w:hAnsi="Verdana"/>
              </w:rPr>
              <w:t>None.</w:t>
            </w:r>
          </w:p>
          <w:p w14:paraId="135024AF" w14:textId="7E7C15F3" w:rsidR="00C736D9" w:rsidRPr="00FE19AA" w:rsidRDefault="00C736D9" w:rsidP="00BC601B">
            <w:pPr>
              <w:rPr>
                <w:rFonts w:ascii="Verdana" w:hAnsi="Verdana"/>
              </w:rPr>
            </w:pPr>
          </w:p>
        </w:tc>
      </w:tr>
      <w:tr w:rsidR="00EC244A" w14:paraId="29B891E9" w14:textId="77777777" w:rsidTr="00B23725">
        <w:tc>
          <w:tcPr>
            <w:tcW w:w="675" w:type="dxa"/>
            <w:shd w:val="clear" w:color="auto" w:fill="auto"/>
            <w:tcMar>
              <w:top w:w="0" w:type="dxa"/>
              <w:left w:w="108" w:type="dxa"/>
              <w:bottom w:w="0" w:type="dxa"/>
              <w:right w:w="108" w:type="dxa"/>
            </w:tcMar>
          </w:tcPr>
          <w:p w14:paraId="3F8D4DE6" w14:textId="737BBAA7" w:rsidR="00EC244A" w:rsidRDefault="00D97238" w:rsidP="00EC244A">
            <w:pPr>
              <w:rPr>
                <w:rFonts w:ascii="Verdana" w:hAnsi="Verdana"/>
                <w:b/>
              </w:rPr>
            </w:pPr>
            <w:r>
              <w:rPr>
                <w:rFonts w:ascii="Verdana" w:hAnsi="Verdana"/>
                <w:b/>
              </w:rPr>
              <w:t>5</w:t>
            </w:r>
          </w:p>
        </w:tc>
        <w:tc>
          <w:tcPr>
            <w:tcW w:w="8789" w:type="dxa"/>
            <w:shd w:val="clear" w:color="auto" w:fill="auto"/>
            <w:tcMar>
              <w:top w:w="0" w:type="dxa"/>
              <w:left w:w="108" w:type="dxa"/>
              <w:bottom w:w="0" w:type="dxa"/>
              <w:right w:w="108" w:type="dxa"/>
            </w:tcMar>
          </w:tcPr>
          <w:p w14:paraId="69F034A5" w14:textId="77777777" w:rsidR="00903814" w:rsidRDefault="00903814" w:rsidP="00903814">
            <w:pPr>
              <w:pStyle w:val="NoSpacing"/>
              <w:rPr>
                <w:b/>
              </w:rPr>
            </w:pPr>
            <w:r>
              <w:rPr>
                <w:b/>
              </w:rPr>
              <w:t>Appointment of Parent Member of the Corporation</w:t>
            </w:r>
          </w:p>
          <w:p w14:paraId="3F208A82" w14:textId="77777777" w:rsidR="00903814" w:rsidRDefault="00903814" w:rsidP="00903814">
            <w:pPr>
              <w:pStyle w:val="NoSpacing"/>
              <w:rPr>
                <w:b/>
              </w:rPr>
            </w:pPr>
          </w:p>
          <w:p w14:paraId="5E6E76FD" w14:textId="7F2F0DA3" w:rsidR="00903814" w:rsidRPr="00074073" w:rsidRDefault="00903814" w:rsidP="00903814">
            <w:pPr>
              <w:pStyle w:val="NoSpacing"/>
              <w:rPr>
                <w:bCs/>
              </w:rPr>
            </w:pPr>
            <w:r>
              <w:rPr>
                <w:bCs/>
              </w:rPr>
              <w:t>The</w:t>
            </w:r>
            <w:r w:rsidRPr="00074073">
              <w:rPr>
                <w:bCs/>
              </w:rPr>
              <w:t xml:space="preserve"> following resolution</w:t>
            </w:r>
            <w:r>
              <w:rPr>
                <w:bCs/>
              </w:rPr>
              <w:t xml:space="preserve"> was approved</w:t>
            </w:r>
            <w:r w:rsidRPr="00074073">
              <w:rPr>
                <w:bCs/>
              </w:rPr>
              <w:t>:</w:t>
            </w:r>
          </w:p>
          <w:p w14:paraId="4ED7B8FA" w14:textId="77777777" w:rsidR="00903814" w:rsidRDefault="00903814" w:rsidP="00903814">
            <w:pPr>
              <w:pStyle w:val="NoSpacing"/>
              <w:rPr>
                <w:b/>
              </w:rPr>
            </w:pPr>
          </w:p>
          <w:p w14:paraId="44E02C55" w14:textId="554A5223" w:rsidR="00903814" w:rsidRDefault="00903814" w:rsidP="00903814">
            <w:pPr>
              <w:rPr>
                <w:rFonts w:ascii="Verdana" w:hAnsi="Verdana"/>
                <w:i/>
              </w:rPr>
            </w:pPr>
            <w:r>
              <w:rPr>
                <w:rFonts w:ascii="Verdana" w:hAnsi="Verdana"/>
              </w:rPr>
              <w:t xml:space="preserve">THAT, </w:t>
            </w:r>
            <w:r w:rsidRPr="00470B75">
              <w:rPr>
                <w:rFonts w:ascii="Verdana" w:hAnsi="Verdana"/>
                <w:i/>
              </w:rPr>
              <w:t>on the advice of the Governance and Nominations Committee</w:t>
            </w:r>
            <w:r>
              <w:rPr>
                <w:rFonts w:ascii="Verdana" w:hAnsi="Verdana"/>
                <w:i/>
              </w:rPr>
              <w:t xml:space="preserve"> and subject to the appointee obtaining an enhanced DBS clearance showing no matters of concern, Usha Puri-Dewage </w:t>
            </w:r>
            <w:r w:rsidRPr="001C7E61">
              <w:rPr>
                <w:rFonts w:ascii="Verdana" w:hAnsi="Verdana"/>
                <w:i/>
              </w:rPr>
              <w:t xml:space="preserve">be appointed as </w:t>
            </w:r>
            <w:r>
              <w:rPr>
                <w:rFonts w:ascii="Verdana" w:hAnsi="Verdana"/>
                <w:i/>
              </w:rPr>
              <w:t>the parent</w:t>
            </w:r>
            <w:r w:rsidRPr="001C7E61">
              <w:rPr>
                <w:rFonts w:ascii="Verdana" w:hAnsi="Verdana"/>
                <w:i/>
              </w:rPr>
              <w:t xml:space="preserve"> member of the Corporation from </w:t>
            </w:r>
            <w:r>
              <w:rPr>
                <w:rFonts w:ascii="Verdana" w:hAnsi="Verdana"/>
                <w:i/>
              </w:rPr>
              <w:t>12 October 2021</w:t>
            </w:r>
            <w:r w:rsidRPr="001C7E61">
              <w:rPr>
                <w:rFonts w:ascii="Verdana" w:hAnsi="Verdana"/>
                <w:i/>
              </w:rPr>
              <w:t xml:space="preserve"> to </w:t>
            </w:r>
            <w:r>
              <w:rPr>
                <w:rFonts w:ascii="Verdana" w:hAnsi="Verdana"/>
                <w:i/>
              </w:rPr>
              <w:t xml:space="preserve">31 July 2023, or </w:t>
            </w:r>
            <w:r w:rsidR="00501CF0">
              <w:rPr>
                <w:rFonts w:ascii="Verdana" w:hAnsi="Verdana"/>
                <w:i/>
              </w:rPr>
              <w:t xml:space="preserve">to </w:t>
            </w:r>
            <w:r>
              <w:rPr>
                <w:rFonts w:ascii="Verdana" w:hAnsi="Verdana"/>
                <w:i/>
              </w:rPr>
              <w:t>such earlier date as her child may cease to be a student of the College.</w:t>
            </w:r>
          </w:p>
          <w:p w14:paraId="37B1FFD1" w14:textId="77777777" w:rsidR="003B7B22" w:rsidRDefault="003B7B22" w:rsidP="006970D3">
            <w:pPr>
              <w:rPr>
                <w:rFonts w:ascii="Verdana" w:hAnsi="Verdana"/>
              </w:rPr>
            </w:pPr>
          </w:p>
          <w:p w14:paraId="600FAD2B" w14:textId="6475E650" w:rsidR="00C736D9" w:rsidRDefault="00C736D9" w:rsidP="006970D3">
            <w:pPr>
              <w:rPr>
                <w:rFonts w:ascii="Verdana" w:hAnsi="Verdana"/>
              </w:rPr>
            </w:pPr>
            <w:r>
              <w:rPr>
                <w:rFonts w:ascii="Verdana" w:hAnsi="Verdana"/>
              </w:rPr>
              <w:lastRenderedPageBreak/>
              <w:t>It was agreed that, because DBS clearance had not been obtained at the date of the appointment, the Vice-Principal: Student Services and Recruitment will carry out a risk assessment in its regard.  No difficulties are anticipated in respect of it.</w:t>
            </w:r>
          </w:p>
          <w:p w14:paraId="2AF23A70" w14:textId="5E1829FD" w:rsidR="00C736D9" w:rsidRPr="00C17DF8" w:rsidRDefault="00C736D9" w:rsidP="006970D3">
            <w:pPr>
              <w:rPr>
                <w:rFonts w:ascii="Verdana" w:hAnsi="Verdana"/>
              </w:rPr>
            </w:pPr>
          </w:p>
        </w:tc>
      </w:tr>
      <w:tr w:rsidR="00847669" w14:paraId="1679D29D" w14:textId="77777777" w:rsidTr="00B23725">
        <w:tc>
          <w:tcPr>
            <w:tcW w:w="675" w:type="dxa"/>
            <w:shd w:val="clear" w:color="auto" w:fill="auto"/>
            <w:tcMar>
              <w:top w:w="0" w:type="dxa"/>
              <w:left w:w="108" w:type="dxa"/>
              <w:bottom w:w="0" w:type="dxa"/>
              <w:right w:w="108" w:type="dxa"/>
            </w:tcMar>
          </w:tcPr>
          <w:p w14:paraId="277DC6A3" w14:textId="258D80ED" w:rsidR="00847669" w:rsidRDefault="00847669" w:rsidP="009C21D7">
            <w:pPr>
              <w:rPr>
                <w:rFonts w:ascii="Verdana" w:hAnsi="Verdana"/>
                <w:b/>
              </w:rPr>
            </w:pPr>
            <w:r>
              <w:rPr>
                <w:rFonts w:ascii="Verdana" w:hAnsi="Verdana"/>
                <w:b/>
              </w:rPr>
              <w:lastRenderedPageBreak/>
              <w:t>6</w:t>
            </w:r>
          </w:p>
        </w:tc>
        <w:tc>
          <w:tcPr>
            <w:tcW w:w="8789" w:type="dxa"/>
            <w:shd w:val="clear" w:color="auto" w:fill="auto"/>
            <w:tcMar>
              <w:top w:w="0" w:type="dxa"/>
              <w:left w:w="108" w:type="dxa"/>
              <w:bottom w:w="0" w:type="dxa"/>
              <w:right w:w="108" w:type="dxa"/>
            </w:tcMar>
          </w:tcPr>
          <w:p w14:paraId="2EFAB0D5" w14:textId="77777777" w:rsidR="00B263E0" w:rsidRDefault="00501CF0" w:rsidP="00C835D2">
            <w:pPr>
              <w:rPr>
                <w:rFonts w:ascii="Verdana" w:hAnsi="Verdana"/>
                <w:bCs/>
              </w:rPr>
            </w:pPr>
            <w:r>
              <w:rPr>
                <w:rFonts w:ascii="Verdana" w:hAnsi="Verdana"/>
                <w:bCs/>
              </w:rPr>
              <w:t>The business was not taken.</w:t>
            </w:r>
          </w:p>
          <w:p w14:paraId="1F3A3116" w14:textId="687015A1" w:rsidR="00501CF0" w:rsidRPr="00320DA6" w:rsidRDefault="00501CF0" w:rsidP="00C835D2">
            <w:pPr>
              <w:rPr>
                <w:rFonts w:ascii="Verdana" w:hAnsi="Verdana"/>
                <w:bCs/>
              </w:rPr>
            </w:pPr>
          </w:p>
        </w:tc>
      </w:tr>
      <w:tr w:rsidR="00501CF0" w14:paraId="772C73EA" w14:textId="77777777" w:rsidTr="00B23725">
        <w:tc>
          <w:tcPr>
            <w:tcW w:w="675" w:type="dxa"/>
            <w:shd w:val="clear" w:color="auto" w:fill="auto"/>
            <w:tcMar>
              <w:top w:w="0" w:type="dxa"/>
              <w:left w:w="108" w:type="dxa"/>
              <w:bottom w:w="0" w:type="dxa"/>
              <w:right w:w="108" w:type="dxa"/>
            </w:tcMar>
          </w:tcPr>
          <w:p w14:paraId="3335CE70" w14:textId="7F67DFC6" w:rsidR="00501CF0" w:rsidRDefault="00501CF0" w:rsidP="009C21D7">
            <w:pPr>
              <w:rPr>
                <w:rFonts w:ascii="Verdana" w:hAnsi="Verdana"/>
                <w:b/>
              </w:rPr>
            </w:pPr>
            <w:r>
              <w:rPr>
                <w:rFonts w:ascii="Verdana" w:hAnsi="Verdana"/>
                <w:b/>
              </w:rPr>
              <w:t>7</w:t>
            </w:r>
          </w:p>
        </w:tc>
        <w:tc>
          <w:tcPr>
            <w:tcW w:w="8789" w:type="dxa"/>
            <w:shd w:val="clear" w:color="auto" w:fill="auto"/>
            <w:tcMar>
              <w:top w:w="0" w:type="dxa"/>
              <w:left w:w="108" w:type="dxa"/>
              <w:bottom w:w="0" w:type="dxa"/>
              <w:right w:w="108" w:type="dxa"/>
            </w:tcMar>
          </w:tcPr>
          <w:p w14:paraId="3B6F7022" w14:textId="77777777" w:rsidR="00501CF0" w:rsidRPr="00501CF0" w:rsidRDefault="00501CF0" w:rsidP="00C835D2">
            <w:pPr>
              <w:rPr>
                <w:rFonts w:ascii="Verdana" w:hAnsi="Verdana"/>
                <w:b/>
              </w:rPr>
            </w:pPr>
            <w:r w:rsidRPr="00501CF0">
              <w:rPr>
                <w:rFonts w:ascii="Verdana" w:hAnsi="Verdana"/>
                <w:b/>
              </w:rPr>
              <w:t>Admissions 2021</w:t>
            </w:r>
          </w:p>
          <w:p w14:paraId="19949068" w14:textId="77777777" w:rsidR="00501CF0" w:rsidRDefault="00501CF0" w:rsidP="00C835D2">
            <w:pPr>
              <w:rPr>
                <w:rFonts w:ascii="Verdana" w:hAnsi="Verdana"/>
                <w:bCs/>
              </w:rPr>
            </w:pPr>
          </w:p>
          <w:p w14:paraId="2361D2A2" w14:textId="77777777" w:rsidR="00501CF0" w:rsidRDefault="00501CF0" w:rsidP="00C835D2">
            <w:pPr>
              <w:rPr>
                <w:rFonts w:ascii="Verdana" w:hAnsi="Verdana"/>
                <w:bCs/>
              </w:rPr>
            </w:pPr>
            <w:r>
              <w:rPr>
                <w:rFonts w:ascii="Verdana" w:hAnsi="Verdana"/>
                <w:bCs/>
              </w:rPr>
              <w:t>A report prepared by the Principal was received and considered.</w:t>
            </w:r>
          </w:p>
          <w:p w14:paraId="271F46C7" w14:textId="77777777" w:rsidR="00501CF0" w:rsidRDefault="00501CF0" w:rsidP="00C835D2">
            <w:pPr>
              <w:rPr>
                <w:rFonts w:ascii="Verdana" w:hAnsi="Verdana"/>
                <w:bCs/>
              </w:rPr>
            </w:pPr>
          </w:p>
          <w:p w14:paraId="70662C46" w14:textId="77777777" w:rsidR="00501CF0" w:rsidRDefault="00F24E3B" w:rsidP="00C835D2">
            <w:pPr>
              <w:rPr>
                <w:rFonts w:ascii="Verdana" w:hAnsi="Verdana"/>
                <w:bCs/>
              </w:rPr>
            </w:pPr>
            <w:r>
              <w:rPr>
                <w:rFonts w:ascii="Verdana" w:hAnsi="Verdana"/>
                <w:bCs/>
              </w:rPr>
              <w:t>It was noted that:</w:t>
            </w:r>
          </w:p>
          <w:p w14:paraId="7223D6CF" w14:textId="77777777" w:rsidR="00F24E3B" w:rsidRDefault="00F24E3B" w:rsidP="00C835D2">
            <w:pPr>
              <w:rPr>
                <w:rFonts w:ascii="Verdana" w:hAnsi="Verdana"/>
                <w:bCs/>
              </w:rPr>
            </w:pPr>
          </w:p>
          <w:p w14:paraId="6391013D" w14:textId="77777777" w:rsidR="00F24E3B" w:rsidRDefault="00F24E3B" w:rsidP="00C835D2">
            <w:pPr>
              <w:rPr>
                <w:rFonts w:ascii="Verdana" w:hAnsi="Verdana" w:cs="Arial"/>
                <w:i/>
                <w:iCs/>
              </w:rPr>
            </w:pPr>
            <w:r w:rsidRPr="00F24E3B">
              <w:rPr>
                <w:rFonts w:ascii="Verdana" w:hAnsi="Verdana" w:cs="Arial"/>
                <w:i/>
                <w:iCs/>
              </w:rPr>
              <w:t xml:space="preserve">enrolments for the current academic year </w:t>
            </w:r>
            <w:r>
              <w:rPr>
                <w:rFonts w:ascii="Verdana" w:hAnsi="Verdana" w:cs="Arial"/>
                <w:i/>
                <w:iCs/>
              </w:rPr>
              <w:t>ar</w:t>
            </w:r>
            <w:r w:rsidRPr="00F24E3B">
              <w:rPr>
                <w:rFonts w:ascii="Verdana" w:hAnsi="Verdana" w:cs="Arial"/>
                <w:i/>
                <w:iCs/>
              </w:rPr>
              <w:t>e significantly lower than the target figure of 1</w:t>
            </w:r>
            <w:r>
              <w:rPr>
                <w:rFonts w:ascii="Verdana" w:hAnsi="Verdana" w:cs="Arial"/>
                <w:i/>
                <w:iCs/>
              </w:rPr>
              <w:t>,</w:t>
            </w:r>
            <w:r w:rsidRPr="00F24E3B">
              <w:rPr>
                <w:rFonts w:ascii="Verdana" w:hAnsi="Verdana" w:cs="Arial"/>
                <w:i/>
                <w:iCs/>
              </w:rPr>
              <w:t>820</w:t>
            </w:r>
            <w:r>
              <w:rPr>
                <w:rFonts w:ascii="Verdana" w:hAnsi="Verdana" w:cs="Arial"/>
                <w:i/>
                <w:iCs/>
              </w:rPr>
              <w:t>;</w:t>
            </w:r>
            <w:r w:rsidRPr="00F24E3B">
              <w:rPr>
                <w:rFonts w:ascii="Verdana" w:hAnsi="Verdana" w:cs="Arial"/>
                <w:i/>
                <w:iCs/>
              </w:rPr>
              <w:t xml:space="preserve"> </w:t>
            </w:r>
          </w:p>
          <w:p w14:paraId="3290BB6D" w14:textId="75732062" w:rsidR="00F24E3B" w:rsidRDefault="00F24E3B" w:rsidP="00C835D2">
            <w:pPr>
              <w:rPr>
                <w:rFonts w:ascii="Verdana" w:hAnsi="Verdana" w:cs="Arial"/>
                <w:i/>
                <w:iCs/>
              </w:rPr>
            </w:pPr>
          </w:p>
          <w:p w14:paraId="5CAE3CFF" w14:textId="42216354" w:rsidR="00F24E3B" w:rsidRPr="00F24E3B" w:rsidRDefault="00F24E3B" w:rsidP="00C835D2">
            <w:pPr>
              <w:rPr>
                <w:rFonts w:ascii="Verdana" w:hAnsi="Verdana" w:cs="Arial"/>
              </w:rPr>
            </w:pPr>
            <w:r>
              <w:rPr>
                <w:rFonts w:ascii="Verdana" w:hAnsi="Verdana" w:cs="Arial"/>
                <w:i/>
                <w:iCs/>
              </w:rPr>
              <w:t xml:space="preserve">the College had been </w:t>
            </w:r>
            <w:r w:rsidRPr="00F24E3B">
              <w:rPr>
                <w:rFonts w:ascii="Verdana" w:hAnsi="Verdana" w:cs="Arial"/>
                <w:i/>
                <w:iCs/>
              </w:rPr>
              <w:t>broadly on track with enrolments from the</w:t>
            </w:r>
            <w:r>
              <w:rPr>
                <w:rFonts w:ascii="Verdana" w:hAnsi="Verdana" w:cs="Arial"/>
                <w:i/>
                <w:iCs/>
              </w:rPr>
              <w:t xml:space="preserve"> known</w:t>
            </w:r>
            <w:r w:rsidRPr="00F24E3B">
              <w:rPr>
                <w:rFonts w:ascii="Verdana" w:hAnsi="Verdana" w:cs="Arial"/>
                <w:i/>
                <w:iCs/>
              </w:rPr>
              <w:t xml:space="preserve"> pool of students (</w:t>
            </w:r>
            <w:r>
              <w:rPr>
                <w:rFonts w:ascii="Verdana" w:hAnsi="Verdana" w:cs="Arial"/>
                <w:i/>
                <w:iCs/>
              </w:rPr>
              <w:t>i.e. those</w:t>
            </w:r>
            <w:r w:rsidRPr="00F24E3B">
              <w:rPr>
                <w:rFonts w:ascii="Verdana" w:hAnsi="Verdana" w:cs="Arial"/>
                <w:i/>
                <w:iCs/>
              </w:rPr>
              <w:t xml:space="preserve"> progressing from Year 1, enrolments by students holding offers</w:t>
            </w:r>
            <w:r>
              <w:rPr>
                <w:rFonts w:ascii="Verdana" w:hAnsi="Verdana" w:cs="Arial"/>
                <w:i/>
                <w:iCs/>
              </w:rPr>
              <w:t>,</w:t>
            </w:r>
            <w:r w:rsidRPr="00F24E3B">
              <w:rPr>
                <w:rFonts w:ascii="Verdana" w:hAnsi="Verdana" w:cs="Arial"/>
                <w:i/>
                <w:iCs/>
              </w:rPr>
              <w:t xml:space="preserve"> and students who attended local schools)</w:t>
            </w:r>
            <w:r>
              <w:rPr>
                <w:rFonts w:ascii="Verdana" w:hAnsi="Verdana" w:cs="Arial"/>
                <w:i/>
                <w:iCs/>
              </w:rPr>
              <w:t>,</w:t>
            </w:r>
            <w:r w:rsidRPr="00F24E3B">
              <w:rPr>
                <w:rFonts w:ascii="Verdana" w:hAnsi="Verdana" w:cs="Arial"/>
                <w:i/>
                <w:iCs/>
              </w:rPr>
              <w:t xml:space="preserve"> but </w:t>
            </w:r>
            <w:r>
              <w:rPr>
                <w:rFonts w:ascii="Verdana" w:hAnsi="Verdana" w:cs="Arial"/>
                <w:i/>
                <w:iCs/>
              </w:rPr>
              <w:t>that</w:t>
            </w:r>
            <w:r w:rsidRPr="00F24E3B">
              <w:rPr>
                <w:rFonts w:ascii="Verdana" w:hAnsi="Verdana" w:cs="Arial"/>
                <w:i/>
                <w:iCs/>
              </w:rPr>
              <w:t xml:space="preserve"> a significant and unexpected drop </w:t>
            </w:r>
            <w:r>
              <w:rPr>
                <w:rFonts w:ascii="Verdana" w:hAnsi="Verdana" w:cs="Arial"/>
                <w:i/>
                <w:iCs/>
              </w:rPr>
              <w:t xml:space="preserve">had occurred </w:t>
            </w:r>
            <w:r w:rsidRPr="00F24E3B">
              <w:rPr>
                <w:rFonts w:ascii="Verdana" w:hAnsi="Verdana" w:cs="Arial"/>
                <w:i/>
                <w:iCs/>
              </w:rPr>
              <w:t>in the number of “walk in” enrolments in September</w:t>
            </w:r>
            <w:r>
              <w:rPr>
                <w:rFonts w:ascii="Verdana" w:hAnsi="Verdana" w:cs="Arial"/>
                <w:i/>
                <w:iCs/>
              </w:rPr>
              <w:t>;</w:t>
            </w:r>
            <w:r>
              <w:rPr>
                <w:rFonts w:ascii="Verdana" w:hAnsi="Verdana" w:cs="Arial"/>
              </w:rPr>
              <w:t xml:space="preserve"> and</w:t>
            </w:r>
          </w:p>
          <w:p w14:paraId="51031747" w14:textId="7EA0ECA2" w:rsidR="00F24E3B" w:rsidRDefault="00F24E3B" w:rsidP="00C835D2">
            <w:pPr>
              <w:rPr>
                <w:rFonts w:ascii="Verdana" w:hAnsi="Verdana" w:cs="Arial"/>
                <w:i/>
                <w:iCs/>
              </w:rPr>
            </w:pPr>
          </w:p>
          <w:p w14:paraId="3C3558FF" w14:textId="0BCDD4F0" w:rsidR="00F24E3B" w:rsidRPr="00F24E3B" w:rsidRDefault="00F24E3B" w:rsidP="00C835D2">
            <w:pPr>
              <w:rPr>
                <w:rFonts w:ascii="Verdana" w:hAnsi="Verdana" w:cs="Arial"/>
                <w:i/>
                <w:iCs/>
              </w:rPr>
            </w:pPr>
            <w:r w:rsidRPr="00F24E3B">
              <w:rPr>
                <w:rFonts w:ascii="Verdana" w:hAnsi="Verdana" w:cs="Arial"/>
                <w:i/>
                <w:iCs/>
              </w:rPr>
              <w:t>the financial forecast for 2022</w:t>
            </w:r>
            <w:r>
              <w:rPr>
                <w:rFonts w:ascii="Verdana" w:hAnsi="Verdana" w:cs="Arial"/>
                <w:i/>
                <w:iCs/>
              </w:rPr>
              <w:t>-</w:t>
            </w:r>
            <w:r w:rsidRPr="00F24E3B">
              <w:rPr>
                <w:rFonts w:ascii="Verdana" w:hAnsi="Verdana" w:cs="Arial"/>
                <w:i/>
                <w:iCs/>
              </w:rPr>
              <w:t xml:space="preserve">23 </w:t>
            </w:r>
            <w:r>
              <w:rPr>
                <w:rFonts w:ascii="Verdana" w:hAnsi="Verdana" w:cs="Arial"/>
                <w:i/>
                <w:iCs/>
              </w:rPr>
              <w:t>will have to</w:t>
            </w:r>
            <w:r w:rsidRPr="00F24E3B">
              <w:rPr>
                <w:rFonts w:ascii="Verdana" w:hAnsi="Verdana" w:cs="Arial"/>
                <w:i/>
                <w:iCs/>
              </w:rPr>
              <w:t xml:space="preserve"> be adjusted to accommodate the impact of c.140 fewer learners than forecast</w:t>
            </w:r>
            <w:r>
              <w:rPr>
                <w:rFonts w:ascii="Verdana" w:hAnsi="Verdana" w:cs="Arial"/>
                <w:i/>
                <w:iCs/>
              </w:rPr>
              <w:t>.</w:t>
            </w:r>
          </w:p>
          <w:p w14:paraId="18D86324" w14:textId="40600BE2" w:rsidR="001039BE" w:rsidRDefault="001039BE" w:rsidP="00C835D2">
            <w:pPr>
              <w:rPr>
                <w:rFonts w:ascii="Verdana" w:hAnsi="Verdana" w:cs="Arial"/>
              </w:rPr>
            </w:pPr>
          </w:p>
          <w:p w14:paraId="3FB4B298" w14:textId="0EA319D4" w:rsidR="001039BE" w:rsidRDefault="00C736D9" w:rsidP="00C835D2">
            <w:pPr>
              <w:rPr>
                <w:rFonts w:ascii="Verdana" w:hAnsi="Verdana" w:cs="Arial"/>
              </w:rPr>
            </w:pPr>
            <w:r>
              <w:rPr>
                <w:rFonts w:ascii="Verdana" w:hAnsi="Verdana" w:cs="Arial"/>
              </w:rPr>
              <w:t xml:space="preserve">In response to </w:t>
            </w:r>
            <w:r w:rsidR="008B1F0D">
              <w:rPr>
                <w:rFonts w:ascii="Verdana" w:hAnsi="Verdana" w:cs="Arial"/>
              </w:rPr>
              <w:t>a question from Stephen Jones, it was noted that the reduction in numbers from those enrolling to those actually taking up a place at the College reflects the practice among some students of completing multiple enrolments with a range of providers before making a final choice.</w:t>
            </w:r>
          </w:p>
          <w:p w14:paraId="49CDC912" w14:textId="76A7919A" w:rsidR="008B1F0D" w:rsidRDefault="008B1F0D" w:rsidP="00C835D2">
            <w:pPr>
              <w:rPr>
                <w:rFonts w:ascii="Verdana" w:hAnsi="Verdana" w:cs="Arial"/>
              </w:rPr>
            </w:pPr>
          </w:p>
          <w:p w14:paraId="07FDB607" w14:textId="0C7004B3" w:rsidR="008B1F0D" w:rsidRDefault="008B1F0D" w:rsidP="00C835D2">
            <w:pPr>
              <w:rPr>
                <w:rFonts w:ascii="Verdana" w:hAnsi="Verdana" w:cs="Arial"/>
              </w:rPr>
            </w:pPr>
            <w:r>
              <w:rPr>
                <w:rFonts w:ascii="Verdana" w:hAnsi="Verdana" w:cs="Arial"/>
              </w:rPr>
              <w:t xml:space="preserve">It was proposed, in response to a question from Jonathan Bush, that owing to the effects of “grade inflation”, a higher number of students had met the criteria permitting them to remain at their schools, though they might not complete the two-year programme thereby entailed.  It was commented that many London colleges had experienced a reduction in the numbers of students enrolling at levels 1 and 2. </w:t>
            </w:r>
          </w:p>
          <w:p w14:paraId="40710CF0" w14:textId="4C0A18B8" w:rsidR="008B1F0D" w:rsidRDefault="008B1F0D" w:rsidP="00C835D2">
            <w:pPr>
              <w:rPr>
                <w:rFonts w:ascii="Verdana" w:hAnsi="Verdana" w:cs="Arial"/>
              </w:rPr>
            </w:pPr>
          </w:p>
          <w:p w14:paraId="3A633A43" w14:textId="75AB7CA3" w:rsidR="008B1F0D" w:rsidRPr="001039BE" w:rsidRDefault="008B1F0D" w:rsidP="00C835D2">
            <w:pPr>
              <w:rPr>
                <w:rFonts w:ascii="Verdana" w:hAnsi="Verdana" w:cs="Arial"/>
              </w:rPr>
            </w:pPr>
            <w:r>
              <w:rPr>
                <w:rFonts w:ascii="Verdana" w:hAnsi="Verdana" w:cs="Arial"/>
              </w:rPr>
              <w:t>It having bee</w:t>
            </w:r>
            <w:r w:rsidR="00AB429F">
              <w:rPr>
                <w:rFonts w:ascii="Verdana" w:hAnsi="Verdana" w:cs="Arial"/>
              </w:rPr>
              <w:t>n</w:t>
            </w:r>
            <w:r>
              <w:rPr>
                <w:rFonts w:ascii="Verdana" w:hAnsi="Verdana" w:cs="Arial"/>
              </w:rPr>
              <w:t xml:space="preserve"> noted that the business and health &amp; social care pathways had been hardest hit in terms of student recruitment</w:t>
            </w:r>
            <w:r w:rsidR="00AB429F">
              <w:rPr>
                <w:rFonts w:ascii="Verdana" w:hAnsi="Verdana" w:cs="Arial"/>
              </w:rPr>
              <w:t xml:space="preserve">, it was proposed that these options, being of a more generic nature, are more attractive to “walk-in” students who, because of the consequences of </w:t>
            </w:r>
            <w:r w:rsidR="003F65DA">
              <w:rPr>
                <w:rFonts w:ascii="Verdana" w:hAnsi="Verdana" w:cs="Arial"/>
              </w:rPr>
              <w:t>“</w:t>
            </w:r>
            <w:r w:rsidR="00AB429F">
              <w:rPr>
                <w:rFonts w:ascii="Verdana" w:hAnsi="Verdana" w:cs="Arial"/>
              </w:rPr>
              <w:t>grade inflation</w:t>
            </w:r>
            <w:r w:rsidR="003F65DA">
              <w:rPr>
                <w:rFonts w:ascii="Verdana" w:hAnsi="Verdana" w:cs="Arial"/>
              </w:rPr>
              <w:t>”</w:t>
            </w:r>
            <w:r w:rsidR="00AB429F">
              <w:rPr>
                <w:rFonts w:ascii="Verdana" w:hAnsi="Verdana" w:cs="Arial"/>
              </w:rPr>
              <w:t xml:space="preserve"> noted above, were present in smaller numbers within the cohort.</w:t>
            </w:r>
          </w:p>
          <w:p w14:paraId="3EF95490" w14:textId="77777777" w:rsidR="00F24E3B" w:rsidRDefault="00F24E3B" w:rsidP="00C835D2">
            <w:pPr>
              <w:rPr>
                <w:rFonts w:ascii="Arial" w:hAnsi="Arial" w:cs="Arial"/>
                <w:bCs/>
              </w:rPr>
            </w:pPr>
          </w:p>
          <w:p w14:paraId="126E119B" w14:textId="58CCD45D" w:rsidR="008B1F0D" w:rsidRDefault="008B1F0D" w:rsidP="008B1F0D">
            <w:pPr>
              <w:rPr>
                <w:rFonts w:ascii="Verdana" w:hAnsi="Verdana" w:cs="Arial"/>
              </w:rPr>
            </w:pPr>
            <w:r>
              <w:rPr>
                <w:rFonts w:ascii="Verdana" w:hAnsi="Verdana" w:cs="Arial"/>
              </w:rPr>
              <w:t>It was agreed that the detailed analysis underlying the enrolment outcome, the factors which may have contributed to it</w:t>
            </w:r>
            <w:r w:rsidR="00AB429F">
              <w:rPr>
                <w:rFonts w:ascii="Verdana" w:hAnsi="Verdana" w:cs="Arial"/>
              </w:rPr>
              <w:t xml:space="preserve"> and the experience of other </w:t>
            </w:r>
            <w:r w:rsidR="003F65DA">
              <w:rPr>
                <w:rFonts w:ascii="Verdana" w:hAnsi="Verdana" w:cs="Arial"/>
              </w:rPr>
              <w:t>comparable provider</w:t>
            </w:r>
            <w:r w:rsidR="00AB429F">
              <w:rPr>
                <w:rFonts w:ascii="Verdana" w:hAnsi="Verdana" w:cs="Arial"/>
              </w:rPr>
              <w:t>s</w:t>
            </w:r>
            <w:r>
              <w:rPr>
                <w:rFonts w:ascii="Verdana" w:hAnsi="Verdana" w:cs="Arial"/>
              </w:rPr>
              <w:t>, will be examined by the External Relations Committee on 9 November 2021, and the financial implications by the Resources Committee on 30 November, both of whom will report to the Corporation meeting on 14 December.</w:t>
            </w:r>
          </w:p>
          <w:p w14:paraId="47579EBB" w14:textId="77777777" w:rsidR="00AB429F" w:rsidRDefault="00AB429F" w:rsidP="00C835D2">
            <w:pPr>
              <w:rPr>
                <w:rFonts w:ascii="Verdana" w:hAnsi="Verdana"/>
                <w:bCs/>
              </w:rPr>
            </w:pPr>
          </w:p>
          <w:p w14:paraId="1F4F5173" w14:textId="77777777" w:rsidR="00B23725" w:rsidRDefault="00B23725" w:rsidP="00C835D2">
            <w:pPr>
              <w:rPr>
                <w:rFonts w:ascii="Verdana" w:hAnsi="Verdana"/>
                <w:bCs/>
              </w:rPr>
            </w:pPr>
          </w:p>
          <w:p w14:paraId="323D5D2E" w14:textId="07714421" w:rsidR="00B23725" w:rsidRDefault="00B23725" w:rsidP="00C835D2">
            <w:pPr>
              <w:rPr>
                <w:rFonts w:ascii="Verdana" w:hAnsi="Verdana"/>
                <w:bCs/>
              </w:rPr>
            </w:pPr>
          </w:p>
        </w:tc>
      </w:tr>
      <w:tr w:rsidR="00847669" w14:paraId="23A5AA93" w14:textId="77777777" w:rsidTr="00B23725">
        <w:tc>
          <w:tcPr>
            <w:tcW w:w="675" w:type="dxa"/>
            <w:shd w:val="clear" w:color="auto" w:fill="auto"/>
            <w:tcMar>
              <w:top w:w="0" w:type="dxa"/>
              <w:left w:w="108" w:type="dxa"/>
              <w:bottom w:w="0" w:type="dxa"/>
              <w:right w:w="108" w:type="dxa"/>
            </w:tcMar>
          </w:tcPr>
          <w:p w14:paraId="5A919EA9" w14:textId="552E74DA" w:rsidR="00847669" w:rsidRDefault="00501CF0" w:rsidP="009C21D7">
            <w:pPr>
              <w:rPr>
                <w:rFonts w:ascii="Verdana" w:hAnsi="Verdana"/>
                <w:b/>
              </w:rPr>
            </w:pPr>
            <w:r>
              <w:rPr>
                <w:rFonts w:ascii="Verdana" w:hAnsi="Verdana"/>
                <w:b/>
              </w:rPr>
              <w:lastRenderedPageBreak/>
              <w:t>8</w:t>
            </w:r>
          </w:p>
        </w:tc>
        <w:tc>
          <w:tcPr>
            <w:tcW w:w="8789" w:type="dxa"/>
            <w:shd w:val="clear" w:color="auto" w:fill="auto"/>
            <w:tcMar>
              <w:top w:w="0" w:type="dxa"/>
              <w:left w:w="108" w:type="dxa"/>
              <w:bottom w:w="0" w:type="dxa"/>
              <w:right w:w="108" w:type="dxa"/>
            </w:tcMar>
          </w:tcPr>
          <w:p w14:paraId="1F068959" w14:textId="77777777" w:rsidR="00F85B93" w:rsidRDefault="00F85B93" w:rsidP="00F85B93">
            <w:pPr>
              <w:pStyle w:val="NoSpacing"/>
              <w:rPr>
                <w:b/>
              </w:rPr>
            </w:pPr>
            <w:r>
              <w:rPr>
                <w:b/>
              </w:rPr>
              <w:t>Principal’s Report</w:t>
            </w:r>
          </w:p>
          <w:p w14:paraId="38713F09" w14:textId="77777777" w:rsidR="00AF6BD0" w:rsidRDefault="00AF6BD0" w:rsidP="009C21D7">
            <w:pPr>
              <w:rPr>
                <w:rFonts w:ascii="Verdana" w:hAnsi="Verdana"/>
                <w:bCs/>
              </w:rPr>
            </w:pPr>
          </w:p>
          <w:p w14:paraId="7B2BE27F" w14:textId="40C40063" w:rsidR="00F85B93" w:rsidRDefault="00AB429F" w:rsidP="009C21D7">
            <w:pPr>
              <w:rPr>
                <w:rFonts w:ascii="Verdana" w:hAnsi="Verdana"/>
                <w:bCs/>
              </w:rPr>
            </w:pPr>
            <w:r>
              <w:rPr>
                <w:rFonts w:ascii="Verdana" w:hAnsi="Verdana"/>
                <w:bCs/>
              </w:rPr>
              <w:t xml:space="preserve">There was nothing to report </w:t>
            </w:r>
            <w:r w:rsidR="003F65DA">
              <w:rPr>
                <w:rFonts w:ascii="Verdana" w:hAnsi="Verdana"/>
                <w:bCs/>
              </w:rPr>
              <w:t>except</w:t>
            </w:r>
            <w:r>
              <w:rPr>
                <w:rFonts w:ascii="Verdana" w:hAnsi="Verdana"/>
                <w:bCs/>
              </w:rPr>
              <w:t xml:space="preserve"> as provided elsewhere </w:t>
            </w:r>
            <w:r w:rsidR="003F65DA">
              <w:rPr>
                <w:rFonts w:ascii="Verdana" w:hAnsi="Verdana"/>
                <w:bCs/>
              </w:rPr>
              <w:t>on</w:t>
            </w:r>
            <w:r>
              <w:rPr>
                <w:rFonts w:ascii="Verdana" w:hAnsi="Verdana"/>
                <w:bCs/>
              </w:rPr>
              <w:t xml:space="preserve"> the agenda.</w:t>
            </w:r>
          </w:p>
          <w:p w14:paraId="1F809A21" w14:textId="72134D24" w:rsidR="00340AF8" w:rsidRPr="00821099" w:rsidRDefault="00340AF8" w:rsidP="005B667A">
            <w:pPr>
              <w:rPr>
                <w:rFonts w:ascii="Verdana" w:hAnsi="Verdana"/>
                <w:bCs/>
              </w:rPr>
            </w:pPr>
          </w:p>
        </w:tc>
      </w:tr>
      <w:tr w:rsidR="00CB1411" w14:paraId="1C4DE2F7" w14:textId="77777777" w:rsidTr="00B23725">
        <w:tc>
          <w:tcPr>
            <w:tcW w:w="675" w:type="dxa"/>
            <w:shd w:val="clear" w:color="auto" w:fill="auto"/>
            <w:tcMar>
              <w:top w:w="0" w:type="dxa"/>
              <w:left w:w="108" w:type="dxa"/>
              <w:bottom w:w="0" w:type="dxa"/>
              <w:right w:w="108" w:type="dxa"/>
            </w:tcMar>
          </w:tcPr>
          <w:p w14:paraId="488D7494" w14:textId="29624A17" w:rsidR="00CB1411" w:rsidRDefault="001039BE" w:rsidP="009C21D7">
            <w:pPr>
              <w:rPr>
                <w:rFonts w:ascii="Verdana" w:hAnsi="Verdana"/>
                <w:b/>
              </w:rPr>
            </w:pPr>
            <w:r>
              <w:rPr>
                <w:rFonts w:ascii="Verdana" w:hAnsi="Verdana"/>
                <w:b/>
              </w:rPr>
              <w:t>9</w:t>
            </w:r>
          </w:p>
        </w:tc>
        <w:tc>
          <w:tcPr>
            <w:tcW w:w="8789" w:type="dxa"/>
            <w:shd w:val="clear" w:color="auto" w:fill="auto"/>
            <w:tcMar>
              <w:top w:w="0" w:type="dxa"/>
              <w:left w:w="108" w:type="dxa"/>
              <w:bottom w:w="0" w:type="dxa"/>
              <w:right w:w="108" w:type="dxa"/>
            </w:tcMar>
          </w:tcPr>
          <w:p w14:paraId="2F18D9BE" w14:textId="77777777" w:rsidR="001039BE" w:rsidRDefault="001039BE" w:rsidP="001039BE">
            <w:pPr>
              <w:rPr>
                <w:rFonts w:ascii="Verdana" w:hAnsi="Verdana"/>
                <w:b/>
              </w:rPr>
            </w:pPr>
            <w:r>
              <w:rPr>
                <w:rFonts w:ascii="Verdana" w:hAnsi="Verdana"/>
                <w:b/>
              </w:rPr>
              <w:t xml:space="preserve">Report of the </w:t>
            </w:r>
            <w:r w:rsidRPr="00134CB7">
              <w:rPr>
                <w:rFonts w:ascii="Verdana" w:hAnsi="Verdana"/>
                <w:b/>
              </w:rPr>
              <w:t>Quality and Performance Committee:</w:t>
            </w:r>
            <w:r>
              <w:rPr>
                <w:rFonts w:ascii="Verdana" w:hAnsi="Verdana"/>
                <w:b/>
              </w:rPr>
              <w:t xml:space="preserve">  Meeting held on 21 September 2021</w:t>
            </w:r>
          </w:p>
          <w:p w14:paraId="4B0DCAEB" w14:textId="77777777" w:rsidR="00CB1411" w:rsidRDefault="00CB1411" w:rsidP="00CB1411">
            <w:pPr>
              <w:rPr>
                <w:rFonts w:ascii="Verdana" w:hAnsi="Verdana"/>
                <w:b/>
              </w:rPr>
            </w:pPr>
          </w:p>
          <w:p w14:paraId="6B2E6B31" w14:textId="77777777" w:rsidR="00CB1411" w:rsidRDefault="00CB1411" w:rsidP="00CB1411">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w:t>
            </w:r>
          </w:p>
          <w:p w14:paraId="6ED31E20" w14:textId="77777777" w:rsidR="00CB1411" w:rsidRDefault="00CB1411" w:rsidP="00CB1411">
            <w:pPr>
              <w:pStyle w:val="NoSpacing"/>
              <w:rPr>
                <w:bCs/>
              </w:rPr>
            </w:pPr>
          </w:p>
          <w:p w14:paraId="7261C909" w14:textId="041AC1CE" w:rsidR="00924F93" w:rsidRDefault="00924F93" w:rsidP="00924F93">
            <w:pPr>
              <w:pStyle w:val="NoSpacing"/>
              <w:rPr>
                <w:bCs/>
              </w:rPr>
            </w:pPr>
            <w:r>
              <w:rPr>
                <w:bCs/>
              </w:rPr>
              <w:t>The Committee Chair reported an overall positive outcome for students in the 2020-21 year.  Though there had been across-the-board “grade inflation”, the College is not out of line with appropriate comparators, and internal measures show evidence of sustained improvement.  The performance of disadvantaged students is especially gratifying.</w:t>
            </w:r>
          </w:p>
          <w:p w14:paraId="11899B62" w14:textId="671AC422" w:rsidR="00924F93" w:rsidRDefault="00924F93" w:rsidP="00924F93">
            <w:pPr>
              <w:pStyle w:val="NoSpacing"/>
              <w:rPr>
                <w:bCs/>
              </w:rPr>
            </w:pPr>
          </w:p>
          <w:p w14:paraId="1078D23B" w14:textId="5198A655" w:rsidR="00924F93" w:rsidRDefault="00924F93" w:rsidP="00924F93">
            <w:pPr>
              <w:pStyle w:val="NoSpacing"/>
              <w:rPr>
                <w:bCs/>
              </w:rPr>
            </w:pPr>
            <w:r>
              <w:rPr>
                <w:bCs/>
              </w:rPr>
              <w:t xml:space="preserve">Substantial progress had been noted with regard to the College Improvement Plan (in its final iteration prior to the anticipated Ofsted inspection visit).  Timing issues resulting from the effects of the public health emergency had prevented sufficient evidence being adduced for some </w:t>
            </w:r>
            <w:r w:rsidR="003F65DA">
              <w:rPr>
                <w:bCs/>
              </w:rPr>
              <w:t>of the Plan’s dimensions</w:t>
            </w:r>
            <w:r>
              <w:rPr>
                <w:bCs/>
              </w:rPr>
              <w:t xml:space="preserve">, but none are giving cause for concern at this time. </w:t>
            </w:r>
          </w:p>
          <w:p w14:paraId="486250C2" w14:textId="7EC10C32" w:rsidR="00924F93" w:rsidRDefault="00924F93" w:rsidP="00924F93">
            <w:pPr>
              <w:pStyle w:val="NoSpacing"/>
              <w:rPr>
                <w:bCs/>
              </w:rPr>
            </w:pPr>
          </w:p>
          <w:p w14:paraId="4EFDE5AE" w14:textId="62DAC714" w:rsidR="00924F93" w:rsidRDefault="00924F93" w:rsidP="00924F93">
            <w:pPr>
              <w:pStyle w:val="NoSpacing"/>
              <w:rPr>
                <w:bCs/>
              </w:rPr>
            </w:pPr>
            <w:r>
              <w:rPr>
                <w:bCs/>
              </w:rPr>
              <w:t>It was agreed that, in common with all other providers, the College is anticipating lower student outcomes in 2022 as a function of the DfE’s “two-year glide path” by which it intends, by 2023, to return grade criteria to their 2019 levels.</w:t>
            </w:r>
          </w:p>
          <w:p w14:paraId="7E142E37" w14:textId="673E0005" w:rsidR="00924F93" w:rsidRDefault="00924F93" w:rsidP="00924F93">
            <w:pPr>
              <w:pStyle w:val="NoSpacing"/>
              <w:rPr>
                <w:bCs/>
              </w:rPr>
            </w:pPr>
          </w:p>
          <w:p w14:paraId="5093AC63" w14:textId="60CA1855" w:rsidR="00924F93" w:rsidRDefault="00924F93" w:rsidP="00924F93">
            <w:pPr>
              <w:pStyle w:val="NoSpacing"/>
              <w:rPr>
                <w:bCs/>
              </w:rPr>
            </w:pPr>
            <w:r>
              <w:rPr>
                <w:bCs/>
              </w:rPr>
              <w:t>It was noted that internal graduation continues to show a consistent rise (87% in 2022, by comparison with 77% at the time of the January 2018 Ofsted inspection).</w:t>
            </w:r>
          </w:p>
          <w:p w14:paraId="75BE303F" w14:textId="10B00260" w:rsidR="002725AF" w:rsidRDefault="002725AF" w:rsidP="00CB1411">
            <w:pPr>
              <w:rPr>
                <w:rFonts w:ascii="Verdana" w:hAnsi="Verdana"/>
                <w:b/>
              </w:rPr>
            </w:pPr>
          </w:p>
        </w:tc>
      </w:tr>
      <w:tr w:rsidR="00CB1411" w14:paraId="05ED97BE" w14:textId="77777777" w:rsidTr="00B23725">
        <w:tc>
          <w:tcPr>
            <w:tcW w:w="675" w:type="dxa"/>
            <w:shd w:val="clear" w:color="auto" w:fill="auto"/>
            <w:tcMar>
              <w:top w:w="0" w:type="dxa"/>
              <w:left w:w="108" w:type="dxa"/>
              <w:bottom w:w="0" w:type="dxa"/>
              <w:right w:w="108" w:type="dxa"/>
            </w:tcMar>
          </w:tcPr>
          <w:p w14:paraId="27F56E45" w14:textId="008BD5C6" w:rsidR="00CB1411" w:rsidRDefault="00CB1411" w:rsidP="009C21D7">
            <w:pPr>
              <w:rPr>
                <w:rFonts w:ascii="Verdana" w:hAnsi="Verdana"/>
                <w:b/>
              </w:rPr>
            </w:pPr>
            <w:r>
              <w:rPr>
                <w:rFonts w:ascii="Verdana" w:hAnsi="Verdana"/>
                <w:b/>
              </w:rPr>
              <w:t>1</w:t>
            </w:r>
            <w:r w:rsidR="00E4675C">
              <w:rPr>
                <w:rFonts w:ascii="Verdana" w:hAnsi="Verdana"/>
                <w:b/>
              </w:rPr>
              <w:t>0</w:t>
            </w:r>
          </w:p>
        </w:tc>
        <w:tc>
          <w:tcPr>
            <w:tcW w:w="8789" w:type="dxa"/>
            <w:shd w:val="clear" w:color="auto" w:fill="auto"/>
            <w:tcMar>
              <w:top w:w="0" w:type="dxa"/>
              <w:left w:w="108" w:type="dxa"/>
              <w:bottom w:w="0" w:type="dxa"/>
              <w:right w:w="108" w:type="dxa"/>
            </w:tcMar>
          </w:tcPr>
          <w:p w14:paraId="62FDF5BC" w14:textId="77777777" w:rsidR="00E4675C" w:rsidRDefault="00E4675C" w:rsidP="00E4675C">
            <w:pPr>
              <w:rPr>
                <w:rFonts w:ascii="Verdana" w:hAnsi="Verdana"/>
                <w:b/>
              </w:rPr>
            </w:pPr>
            <w:r>
              <w:rPr>
                <w:rFonts w:ascii="Verdana" w:hAnsi="Verdana"/>
                <w:b/>
              </w:rPr>
              <w:t>Report of the Governance and Nominations</w:t>
            </w:r>
            <w:r w:rsidRPr="00134CB7">
              <w:rPr>
                <w:rFonts w:ascii="Verdana" w:hAnsi="Verdana"/>
                <w:b/>
              </w:rPr>
              <w:t xml:space="preserve"> Committee:</w:t>
            </w:r>
            <w:r>
              <w:rPr>
                <w:rFonts w:ascii="Verdana" w:hAnsi="Verdana"/>
                <w:b/>
              </w:rPr>
              <w:t xml:space="preserve">  Meeting held on 7 September 2021</w:t>
            </w:r>
          </w:p>
          <w:p w14:paraId="142BE3FB" w14:textId="77777777" w:rsidR="00513EE2" w:rsidRDefault="00513EE2" w:rsidP="00CB1411">
            <w:pPr>
              <w:rPr>
                <w:rFonts w:ascii="Verdana" w:hAnsi="Verdana"/>
                <w:bCs/>
              </w:rPr>
            </w:pPr>
          </w:p>
          <w:p w14:paraId="633BF9E9" w14:textId="77777777" w:rsidR="00924F93" w:rsidRDefault="00E4675C" w:rsidP="00E4675C">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w:t>
            </w:r>
          </w:p>
          <w:p w14:paraId="0EE3E907" w14:textId="77777777" w:rsidR="00924F93" w:rsidRDefault="00924F93" w:rsidP="00E4675C">
            <w:pPr>
              <w:rPr>
                <w:rFonts w:ascii="Verdana" w:hAnsi="Verdana"/>
              </w:rPr>
            </w:pPr>
          </w:p>
          <w:p w14:paraId="5AB150A7" w14:textId="77777777" w:rsidR="00924F93" w:rsidRDefault="00924F93" w:rsidP="00E4675C">
            <w:pPr>
              <w:rPr>
                <w:rFonts w:ascii="Verdana" w:hAnsi="Verdana"/>
              </w:rPr>
            </w:pPr>
            <w:r>
              <w:rPr>
                <w:rFonts w:ascii="Verdana" w:hAnsi="Verdana"/>
              </w:rPr>
              <w:t>It was reported that a new Role Description and Person Specification for members of the Corporation had been agreed, and that a skills audit of existing members is in progress.</w:t>
            </w:r>
          </w:p>
          <w:p w14:paraId="68053362" w14:textId="77777777" w:rsidR="00924F93" w:rsidRDefault="00924F93" w:rsidP="00E4675C">
            <w:pPr>
              <w:rPr>
                <w:rFonts w:ascii="Verdana" w:hAnsi="Verdana"/>
              </w:rPr>
            </w:pPr>
          </w:p>
          <w:p w14:paraId="31B4E9AF" w14:textId="77777777" w:rsidR="00924F93" w:rsidRDefault="00924F93" w:rsidP="00E4675C">
            <w:pPr>
              <w:rPr>
                <w:rFonts w:ascii="Verdana" w:hAnsi="Verdana"/>
              </w:rPr>
            </w:pPr>
            <w:r>
              <w:rPr>
                <w:rFonts w:ascii="Verdana" w:hAnsi="Verdana"/>
              </w:rPr>
              <w:t>Induction procedures are also being updated.</w:t>
            </w:r>
          </w:p>
          <w:p w14:paraId="30118723" w14:textId="77777777" w:rsidR="00924F93" w:rsidRDefault="00924F93" w:rsidP="00E4675C">
            <w:pPr>
              <w:rPr>
                <w:rFonts w:ascii="Verdana" w:hAnsi="Verdana"/>
              </w:rPr>
            </w:pPr>
          </w:p>
          <w:p w14:paraId="34EDDF6D" w14:textId="40F469BE" w:rsidR="00BC07A7" w:rsidRDefault="00BC07A7" w:rsidP="00E4675C">
            <w:pPr>
              <w:rPr>
                <w:rFonts w:ascii="Verdana" w:hAnsi="Verdana"/>
              </w:rPr>
            </w:pPr>
            <w:r>
              <w:rPr>
                <w:rFonts w:ascii="Verdana" w:hAnsi="Verdana"/>
              </w:rPr>
              <w:t xml:space="preserve">It was proposed </w:t>
            </w:r>
            <w:bookmarkStart w:id="0" w:name="_GoBack"/>
            <w:bookmarkEnd w:id="0"/>
            <w:r>
              <w:rPr>
                <w:rFonts w:ascii="Verdana" w:hAnsi="Verdana"/>
              </w:rPr>
              <w:t xml:space="preserve">that the College </w:t>
            </w:r>
            <w:r w:rsidR="00115107">
              <w:rPr>
                <w:rFonts w:ascii="Verdana" w:hAnsi="Verdana"/>
              </w:rPr>
              <w:t>might explore the development of</w:t>
            </w:r>
            <w:r>
              <w:rPr>
                <w:rFonts w:ascii="Verdana" w:hAnsi="Verdana"/>
              </w:rPr>
              <w:t xml:space="preserve"> a portal for information likely to be of interest to members of the Corporation, to include training and development opportunities.</w:t>
            </w:r>
            <w:r w:rsidR="00924F93">
              <w:rPr>
                <w:rFonts w:ascii="Verdana" w:hAnsi="Verdana"/>
              </w:rPr>
              <w:t xml:space="preserve"> </w:t>
            </w:r>
          </w:p>
          <w:p w14:paraId="5743E26B" w14:textId="77777777" w:rsidR="00BC07A7" w:rsidRDefault="00BC07A7" w:rsidP="00E4675C">
            <w:pPr>
              <w:rPr>
                <w:rFonts w:ascii="Verdana" w:hAnsi="Verdana"/>
              </w:rPr>
            </w:pPr>
          </w:p>
          <w:p w14:paraId="2CCF7258" w14:textId="5D9C7C1D" w:rsidR="00E4675C" w:rsidRDefault="00BC07A7" w:rsidP="00E4675C">
            <w:pPr>
              <w:rPr>
                <w:rFonts w:ascii="Verdana" w:hAnsi="Verdana"/>
              </w:rPr>
            </w:pPr>
            <w:r>
              <w:rPr>
                <w:rFonts w:ascii="Verdana" w:hAnsi="Verdana"/>
              </w:rPr>
              <w:t>It was noted that facilities are now in place for members to visit the College.  They were asked by the Principal to provide his PA (Tracy Straker) with details of their availability.</w:t>
            </w:r>
            <w:r w:rsidR="00E4675C">
              <w:rPr>
                <w:rFonts w:ascii="Verdana" w:hAnsi="Verdana"/>
              </w:rPr>
              <w:t xml:space="preserve"> </w:t>
            </w:r>
          </w:p>
          <w:p w14:paraId="2D627083" w14:textId="77777777" w:rsidR="00E4675C" w:rsidRDefault="00E4675C" w:rsidP="00E4675C">
            <w:pPr>
              <w:pStyle w:val="NoSpacing"/>
              <w:rPr>
                <w:bCs/>
              </w:rPr>
            </w:pPr>
          </w:p>
          <w:p w14:paraId="6072BB2E" w14:textId="5A8FBAF7" w:rsidR="00E4675C" w:rsidRDefault="00E4675C" w:rsidP="00CB1411">
            <w:pPr>
              <w:rPr>
                <w:rFonts w:ascii="Verdana" w:hAnsi="Verdana"/>
                <w:bCs/>
              </w:rPr>
            </w:pPr>
            <w:r>
              <w:rPr>
                <w:rFonts w:ascii="Verdana" w:hAnsi="Verdana"/>
                <w:bCs/>
              </w:rPr>
              <w:t xml:space="preserve">The Self-Assessment of Governance Report approved by the Committee was </w:t>
            </w:r>
            <w:r>
              <w:rPr>
                <w:rFonts w:ascii="Verdana" w:hAnsi="Verdana"/>
                <w:bCs/>
              </w:rPr>
              <w:lastRenderedPageBreak/>
              <w:t>also received and noted.</w:t>
            </w:r>
          </w:p>
          <w:p w14:paraId="0D941B72" w14:textId="2C83C288" w:rsidR="00E4675C" w:rsidRPr="00CB1411" w:rsidRDefault="00E4675C" w:rsidP="00CB1411">
            <w:pPr>
              <w:rPr>
                <w:rFonts w:ascii="Verdana" w:hAnsi="Verdana"/>
                <w:bCs/>
              </w:rPr>
            </w:pPr>
          </w:p>
        </w:tc>
      </w:tr>
      <w:tr w:rsidR="00E31588" w14:paraId="654DEF0C" w14:textId="77777777" w:rsidTr="00B23725">
        <w:tc>
          <w:tcPr>
            <w:tcW w:w="675" w:type="dxa"/>
            <w:shd w:val="clear" w:color="auto" w:fill="auto"/>
            <w:tcMar>
              <w:top w:w="0" w:type="dxa"/>
              <w:left w:w="108" w:type="dxa"/>
              <w:bottom w:w="0" w:type="dxa"/>
              <w:right w:w="108" w:type="dxa"/>
            </w:tcMar>
          </w:tcPr>
          <w:p w14:paraId="1C572980" w14:textId="041E73F7" w:rsidR="00E31588" w:rsidRDefault="00E31588" w:rsidP="009C21D7">
            <w:pPr>
              <w:rPr>
                <w:rFonts w:ascii="Verdana" w:hAnsi="Verdana"/>
                <w:b/>
              </w:rPr>
            </w:pPr>
            <w:r>
              <w:rPr>
                <w:rFonts w:ascii="Verdana" w:hAnsi="Verdana"/>
                <w:b/>
              </w:rPr>
              <w:lastRenderedPageBreak/>
              <w:t>11</w:t>
            </w:r>
          </w:p>
        </w:tc>
        <w:tc>
          <w:tcPr>
            <w:tcW w:w="8789" w:type="dxa"/>
            <w:shd w:val="clear" w:color="auto" w:fill="auto"/>
            <w:tcMar>
              <w:top w:w="0" w:type="dxa"/>
              <w:left w:w="108" w:type="dxa"/>
              <w:bottom w:w="0" w:type="dxa"/>
              <w:right w:w="108" w:type="dxa"/>
            </w:tcMar>
          </w:tcPr>
          <w:p w14:paraId="47F4EE6B" w14:textId="77777777" w:rsidR="00E31588" w:rsidRDefault="00E31588" w:rsidP="00E31588">
            <w:pPr>
              <w:pStyle w:val="NoSpacing"/>
              <w:rPr>
                <w:b/>
              </w:rPr>
            </w:pPr>
            <w:r>
              <w:rPr>
                <w:b/>
              </w:rPr>
              <w:t>Safeguarding Policy 2021</w:t>
            </w:r>
          </w:p>
          <w:p w14:paraId="1A6B58CA" w14:textId="1F5373CB" w:rsidR="00E31588" w:rsidRDefault="00E31588" w:rsidP="00E31588">
            <w:pPr>
              <w:pStyle w:val="NoSpacing"/>
              <w:rPr>
                <w:b/>
              </w:rPr>
            </w:pPr>
          </w:p>
          <w:p w14:paraId="64A78E73" w14:textId="00A63AE4" w:rsidR="00E31588" w:rsidRPr="00E74D95" w:rsidRDefault="00E31588" w:rsidP="00E31588">
            <w:pPr>
              <w:pStyle w:val="NoSpacing"/>
              <w:rPr>
                <w:bCs/>
              </w:rPr>
            </w:pPr>
            <w:r>
              <w:rPr>
                <w:bCs/>
              </w:rPr>
              <w:t>It was</w:t>
            </w:r>
            <w:r w:rsidRPr="00E74D95">
              <w:rPr>
                <w:bCs/>
              </w:rPr>
              <w:t xml:space="preserve"> report</w:t>
            </w:r>
            <w:r>
              <w:rPr>
                <w:bCs/>
              </w:rPr>
              <w:t>ed</w:t>
            </w:r>
            <w:r w:rsidRPr="00E74D95">
              <w:rPr>
                <w:bCs/>
              </w:rPr>
              <w:t xml:space="preserve"> that the above College policy </w:t>
            </w:r>
            <w:r>
              <w:rPr>
                <w:bCs/>
              </w:rPr>
              <w:t>had been</w:t>
            </w:r>
            <w:r w:rsidRPr="00E74D95">
              <w:rPr>
                <w:bCs/>
              </w:rPr>
              <w:t xml:space="preserve"> approved (</w:t>
            </w:r>
            <w:r>
              <w:rPr>
                <w:bCs/>
              </w:rPr>
              <w:t>with no votes against</w:t>
            </w:r>
            <w:r w:rsidRPr="00E74D95">
              <w:rPr>
                <w:bCs/>
              </w:rPr>
              <w:t>) by circulated written resolution</w:t>
            </w:r>
            <w:r>
              <w:rPr>
                <w:bCs/>
              </w:rPr>
              <w:t xml:space="preserve"> of the members</w:t>
            </w:r>
            <w:r w:rsidRPr="00E74D95">
              <w:rPr>
                <w:bCs/>
              </w:rPr>
              <w:t>.</w:t>
            </w:r>
          </w:p>
          <w:p w14:paraId="56DFDDD4" w14:textId="77777777" w:rsidR="00E31588" w:rsidRDefault="00E31588" w:rsidP="00E4675C">
            <w:pPr>
              <w:rPr>
                <w:rFonts w:ascii="Verdana" w:hAnsi="Verdana"/>
                <w:b/>
              </w:rPr>
            </w:pPr>
          </w:p>
        </w:tc>
      </w:tr>
      <w:tr w:rsidR="00E31588" w14:paraId="705B10EC" w14:textId="77777777" w:rsidTr="00B23725">
        <w:tc>
          <w:tcPr>
            <w:tcW w:w="675" w:type="dxa"/>
            <w:shd w:val="clear" w:color="auto" w:fill="auto"/>
            <w:tcMar>
              <w:top w:w="0" w:type="dxa"/>
              <w:left w:w="108" w:type="dxa"/>
              <w:bottom w:w="0" w:type="dxa"/>
              <w:right w:w="108" w:type="dxa"/>
            </w:tcMar>
          </w:tcPr>
          <w:p w14:paraId="02067C7A" w14:textId="0B92855B" w:rsidR="00E31588" w:rsidRDefault="00E31588" w:rsidP="009C21D7">
            <w:pPr>
              <w:rPr>
                <w:rFonts w:ascii="Verdana" w:hAnsi="Verdana"/>
                <w:b/>
              </w:rPr>
            </w:pPr>
            <w:r>
              <w:rPr>
                <w:rFonts w:ascii="Verdana" w:hAnsi="Verdana"/>
                <w:b/>
              </w:rPr>
              <w:t>12</w:t>
            </w:r>
          </w:p>
        </w:tc>
        <w:tc>
          <w:tcPr>
            <w:tcW w:w="8789" w:type="dxa"/>
            <w:shd w:val="clear" w:color="auto" w:fill="auto"/>
            <w:tcMar>
              <w:top w:w="0" w:type="dxa"/>
              <w:left w:w="108" w:type="dxa"/>
              <w:bottom w:w="0" w:type="dxa"/>
              <w:right w:w="108" w:type="dxa"/>
            </w:tcMar>
          </w:tcPr>
          <w:p w14:paraId="7EA2C31A" w14:textId="77777777" w:rsidR="00E31588" w:rsidRDefault="00E31588" w:rsidP="00E31588">
            <w:pPr>
              <w:pStyle w:val="NoSpacing"/>
              <w:rPr>
                <w:b/>
              </w:rPr>
            </w:pPr>
            <w:r>
              <w:rPr>
                <w:b/>
              </w:rPr>
              <w:t>Dates and Times of Corporation Meetings 2021-22</w:t>
            </w:r>
          </w:p>
          <w:p w14:paraId="4523A7E4" w14:textId="77777777" w:rsidR="00E31588" w:rsidRDefault="00E31588" w:rsidP="00E31588">
            <w:pPr>
              <w:pStyle w:val="NoSpacing"/>
              <w:rPr>
                <w:b/>
              </w:rPr>
            </w:pPr>
          </w:p>
          <w:p w14:paraId="03ECC1F4" w14:textId="77777777" w:rsidR="00E31588" w:rsidRPr="001D5F95" w:rsidRDefault="00E31588" w:rsidP="00E31588">
            <w:pPr>
              <w:pStyle w:val="NoSpacing"/>
              <w:rPr>
                <w:bCs/>
              </w:rPr>
            </w:pPr>
            <w:r>
              <w:rPr>
                <w:bCs/>
              </w:rPr>
              <w:t>The</w:t>
            </w:r>
            <w:r w:rsidRPr="001D5F95">
              <w:rPr>
                <w:bCs/>
              </w:rPr>
              <w:t xml:space="preserve"> following</w:t>
            </w:r>
            <w:r>
              <w:rPr>
                <w:bCs/>
              </w:rPr>
              <w:t xml:space="preserve"> approved</w:t>
            </w:r>
            <w:r w:rsidRPr="001D5F95">
              <w:rPr>
                <w:bCs/>
              </w:rPr>
              <w:t xml:space="preserve"> dates and times</w:t>
            </w:r>
            <w:r>
              <w:rPr>
                <w:bCs/>
              </w:rPr>
              <w:t xml:space="preserve"> were noted</w:t>
            </w:r>
            <w:r w:rsidRPr="001D5F95">
              <w:rPr>
                <w:bCs/>
              </w:rPr>
              <w:t>:</w:t>
            </w:r>
          </w:p>
          <w:p w14:paraId="2CD9653D" w14:textId="77777777" w:rsidR="00E31588" w:rsidRDefault="00E31588" w:rsidP="00E31588">
            <w:pPr>
              <w:pStyle w:val="NoSpacing"/>
              <w:rPr>
                <w:b/>
              </w:rPr>
            </w:pPr>
          </w:p>
          <w:p w14:paraId="45B7B36A" w14:textId="77777777" w:rsidR="00E31588" w:rsidRDefault="00E31588" w:rsidP="00E31588">
            <w:pPr>
              <w:rPr>
                <w:rFonts w:ascii="Verdana" w:hAnsi="Verdana"/>
                <w:b/>
                <w:i/>
              </w:rPr>
            </w:pPr>
            <w:r>
              <w:rPr>
                <w:rFonts w:ascii="Verdana" w:hAnsi="Verdana"/>
                <w:b/>
                <w:i/>
              </w:rPr>
              <w:t>Tuesday 14 December 2021 (6.30pm)</w:t>
            </w:r>
          </w:p>
          <w:p w14:paraId="336ACC57" w14:textId="77777777" w:rsidR="00E31588" w:rsidRPr="005E449E" w:rsidRDefault="00E31588" w:rsidP="00E31588">
            <w:pPr>
              <w:rPr>
                <w:rFonts w:ascii="Verdana" w:hAnsi="Verdana"/>
                <w:b/>
                <w:i/>
              </w:rPr>
            </w:pPr>
            <w:r>
              <w:rPr>
                <w:rFonts w:ascii="Verdana" w:hAnsi="Verdana"/>
                <w:b/>
                <w:i/>
              </w:rPr>
              <w:t>Tuesday 18 January 2022 (6.30pm)</w:t>
            </w:r>
          </w:p>
          <w:p w14:paraId="232DEF7D" w14:textId="77777777" w:rsidR="00E31588" w:rsidRDefault="00E31588" w:rsidP="00E31588">
            <w:pPr>
              <w:rPr>
                <w:rFonts w:ascii="Verdana" w:hAnsi="Verdana"/>
                <w:b/>
                <w:i/>
              </w:rPr>
            </w:pPr>
            <w:r>
              <w:rPr>
                <w:rFonts w:ascii="Verdana" w:hAnsi="Verdana"/>
                <w:b/>
                <w:i/>
              </w:rPr>
              <w:t>Tuesday 5 April 2022 (6.30pm)</w:t>
            </w:r>
          </w:p>
          <w:p w14:paraId="344945A2" w14:textId="77777777" w:rsidR="00E31588" w:rsidRDefault="00E31588" w:rsidP="00E31588">
            <w:pPr>
              <w:rPr>
                <w:rFonts w:ascii="Verdana" w:hAnsi="Verdana"/>
                <w:b/>
                <w:i/>
              </w:rPr>
            </w:pPr>
            <w:r>
              <w:rPr>
                <w:rFonts w:ascii="Verdana" w:hAnsi="Verdana"/>
                <w:b/>
                <w:i/>
              </w:rPr>
              <w:t>Tuesday 10 May 2022 (6.30pm)</w:t>
            </w:r>
          </w:p>
          <w:p w14:paraId="7A012CAB" w14:textId="77777777" w:rsidR="00E31588" w:rsidRPr="008E3F22" w:rsidRDefault="00E31588" w:rsidP="00E31588">
            <w:pPr>
              <w:rPr>
                <w:rFonts w:ascii="Verdana" w:hAnsi="Verdana"/>
                <w:b/>
                <w:i/>
              </w:rPr>
            </w:pPr>
            <w:r>
              <w:rPr>
                <w:rFonts w:ascii="Verdana" w:hAnsi="Verdana"/>
                <w:b/>
                <w:i/>
              </w:rPr>
              <w:t>Tuesday 5 July 2022 (6.30pm)</w:t>
            </w:r>
          </w:p>
          <w:p w14:paraId="1A1B8DA4" w14:textId="77777777" w:rsidR="00E31588" w:rsidRDefault="00E31588" w:rsidP="00E31588">
            <w:pPr>
              <w:pStyle w:val="NoSpacing"/>
              <w:rPr>
                <w:b/>
              </w:rPr>
            </w:pPr>
          </w:p>
          <w:p w14:paraId="2E158740" w14:textId="5F5F4105" w:rsidR="00E31588" w:rsidRDefault="00E31588" w:rsidP="00E31588">
            <w:pPr>
              <w:rPr>
                <w:rFonts w:ascii="Verdana" w:hAnsi="Verdana"/>
              </w:rPr>
            </w:pPr>
            <w:r>
              <w:rPr>
                <w:rFonts w:ascii="Verdana" w:hAnsi="Verdana"/>
              </w:rPr>
              <w:t>In accordance with the decision of the Corporation at the meeting held on 11 May 2021</w:t>
            </w:r>
            <w:r w:rsidRPr="001616AC">
              <w:rPr>
                <w:rFonts w:ascii="Verdana" w:hAnsi="Verdana"/>
              </w:rPr>
              <w:t xml:space="preserve">, </w:t>
            </w:r>
            <w:r>
              <w:rPr>
                <w:rFonts w:ascii="Verdana" w:hAnsi="Verdana"/>
              </w:rPr>
              <w:t>Corporation meetings will be held</w:t>
            </w:r>
            <w:r w:rsidRPr="001616AC">
              <w:rPr>
                <w:rFonts w:ascii="Verdana" w:hAnsi="Verdana"/>
              </w:rPr>
              <w:t xml:space="preserve"> virtual</w:t>
            </w:r>
            <w:r>
              <w:rPr>
                <w:rFonts w:ascii="Verdana" w:hAnsi="Verdana"/>
              </w:rPr>
              <w:t>ly, subject to the outcome of a review at the 10 May 2022 meeting</w:t>
            </w:r>
            <w:r w:rsidRPr="001616AC">
              <w:rPr>
                <w:rFonts w:ascii="Verdana" w:hAnsi="Verdana"/>
              </w:rPr>
              <w:t>.</w:t>
            </w:r>
          </w:p>
          <w:p w14:paraId="644E3F45" w14:textId="28DE2DD5" w:rsidR="00BC07A7" w:rsidRDefault="00BC07A7" w:rsidP="00E31588">
            <w:pPr>
              <w:rPr>
                <w:rFonts w:ascii="Verdana" w:hAnsi="Verdana"/>
              </w:rPr>
            </w:pPr>
          </w:p>
          <w:p w14:paraId="6E911034" w14:textId="38A6699F" w:rsidR="00BC07A7" w:rsidRPr="001616AC" w:rsidRDefault="00BC07A7" w:rsidP="00E31588">
            <w:pPr>
              <w:rPr>
                <w:rFonts w:ascii="Verdana" w:hAnsi="Verdana"/>
              </w:rPr>
            </w:pPr>
            <w:r>
              <w:rPr>
                <w:rFonts w:ascii="Verdana" w:hAnsi="Verdana"/>
              </w:rPr>
              <w:t xml:space="preserve">It is also noted that a development session is being held in person at the College on </w:t>
            </w:r>
            <w:r w:rsidRPr="00BC07A7">
              <w:rPr>
                <w:rFonts w:ascii="Verdana" w:hAnsi="Verdana"/>
                <w:b/>
                <w:bCs/>
              </w:rPr>
              <w:t>Saturday 13 November</w:t>
            </w:r>
            <w:r>
              <w:rPr>
                <w:rFonts w:ascii="Verdana" w:hAnsi="Verdana"/>
              </w:rPr>
              <w:t xml:space="preserve"> (from 9.30am to 1.00pm).</w:t>
            </w:r>
          </w:p>
          <w:p w14:paraId="4DE1F404" w14:textId="77777777" w:rsidR="00E31588" w:rsidRDefault="00E31588" w:rsidP="00E31588">
            <w:pPr>
              <w:pStyle w:val="NoSpacing"/>
              <w:rPr>
                <w:b/>
              </w:rPr>
            </w:pPr>
          </w:p>
        </w:tc>
      </w:tr>
      <w:tr w:rsidR="00E6639C" w14:paraId="4602F5A9" w14:textId="77777777" w:rsidTr="00B23725">
        <w:tc>
          <w:tcPr>
            <w:tcW w:w="675" w:type="dxa"/>
            <w:shd w:val="clear" w:color="auto" w:fill="auto"/>
            <w:tcMar>
              <w:top w:w="0" w:type="dxa"/>
              <w:left w:w="108" w:type="dxa"/>
              <w:bottom w:w="0" w:type="dxa"/>
              <w:right w:w="108" w:type="dxa"/>
            </w:tcMar>
          </w:tcPr>
          <w:p w14:paraId="2C0F3103" w14:textId="1D9D5374" w:rsidR="00E6639C" w:rsidRDefault="00E6639C" w:rsidP="00E6639C">
            <w:pPr>
              <w:rPr>
                <w:rFonts w:ascii="Verdana" w:hAnsi="Verdana"/>
                <w:b/>
              </w:rPr>
            </w:pPr>
            <w:r>
              <w:rPr>
                <w:rFonts w:ascii="Verdana" w:hAnsi="Verdana"/>
                <w:b/>
              </w:rPr>
              <w:t>13</w:t>
            </w:r>
          </w:p>
        </w:tc>
        <w:tc>
          <w:tcPr>
            <w:tcW w:w="8789" w:type="dxa"/>
            <w:shd w:val="clear" w:color="auto" w:fill="auto"/>
            <w:tcMar>
              <w:top w:w="0" w:type="dxa"/>
              <w:left w:w="108" w:type="dxa"/>
              <w:bottom w:w="0" w:type="dxa"/>
              <w:right w:w="108" w:type="dxa"/>
            </w:tcMar>
          </w:tcPr>
          <w:p w14:paraId="37975C50" w14:textId="77777777" w:rsidR="00E6639C" w:rsidRPr="007161FF" w:rsidRDefault="00E6639C" w:rsidP="00E6639C">
            <w:pPr>
              <w:pStyle w:val="NoSpacing"/>
              <w:rPr>
                <w:b/>
              </w:rPr>
            </w:pPr>
            <w:r w:rsidRPr="007161FF">
              <w:rPr>
                <w:b/>
              </w:rPr>
              <w:t>Any Other Competent Business</w:t>
            </w:r>
          </w:p>
          <w:p w14:paraId="44BD345E" w14:textId="77777777" w:rsidR="00E6639C" w:rsidRDefault="00E6639C" w:rsidP="00E6639C">
            <w:pPr>
              <w:pStyle w:val="NoSpacing"/>
              <w:rPr>
                <w:bCs/>
              </w:rPr>
            </w:pPr>
          </w:p>
          <w:p w14:paraId="5DD8174E" w14:textId="4539931C" w:rsidR="00E6639C" w:rsidRDefault="00E6639C" w:rsidP="00E6639C">
            <w:pPr>
              <w:pStyle w:val="NoSpacing"/>
              <w:rPr>
                <w:b/>
              </w:rPr>
            </w:pPr>
            <w:r>
              <w:rPr>
                <w:bCs/>
              </w:rPr>
              <w:t>Members noted that Nehendra Jonas and Anisa Khadija will complete their term of appointment as student members of the Corporation on 30 November 2021</w:t>
            </w:r>
            <w:r w:rsidR="00E94B5F">
              <w:rPr>
                <w:bCs/>
              </w:rPr>
              <w:t xml:space="preserve">.  They </w:t>
            </w:r>
            <w:r>
              <w:rPr>
                <w:bCs/>
              </w:rPr>
              <w:t xml:space="preserve">were warmly thanked for their services.  </w:t>
            </w:r>
          </w:p>
        </w:tc>
      </w:tr>
    </w:tbl>
    <w:p w14:paraId="19AB7C66" w14:textId="345F96EF" w:rsidR="009C21D7" w:rsidRDefault="009C21D7" w:rsidP="00701D99">
      <w:pPr>
        <w:rPr>
          <w:rFonts w:ascii="Verdana" w:hAnsi="Verdana"/>
        </w:rPr>
      </w:pPr>
    </w:p>
    <w:p w14:paraId="522E2B6F" w14:textId="7B08D84F" w:rsidR="00513EE2" w:rsidRDefault="00513EE2" w:rsidP="00701D99">
      <w:pPr>
        <w:rPr>
          <w:rFonts w:ascii="Verdana" w:hAnsi="Verdana"/>
        </w:rPr>
      </w:pPr>
    </w:p>
    <w:p w14:paraId="06ABCC93" w14:textId="77777777" w:rsidR="00B263E0" w:rsidRDefault="00B263E0" w:rsidP="00D1116E">
      <w:pPr>
        <w:rPr>
          <w:rFonts w:ascii="Verdana" w:hAnsi="Verdana"/>
        </w:rPr>
      </w:pPr>
    </w:p>
    <w:p w14:paraId="41C6D48E" w14:textId="22DA8F50" w:rsidR="00B1510B" w:rsidRPr="005D292C" w:rsidRDefault="005D292C" w:rsidP="00D1116E">
      <w:pPr>
        <w:rPr>
          <w:rFonts w:ascii="Verdana" w:hAnsi="Verdana"/>
          <w:b/>
          <w:bCs/>
        </w:rPr>
      </w:pPr>
      <w:r w:rsidRPr="005D292C">
        <w:rPr>
          <w:rFonts w:ascii="Verdana" w:hAnsi="Verdana"/>
          <w:b/>
          <w:bCs/>
        </w:rPr>
        <w:t>Action Arising from the Meeting</w:t>
      </w:r>
    </w:p>
    <w:p w14:paraId="135024DE" w14:textId="77777777" w:rsidR="00E41859" w:rsidRDefault="00E41859" w:rsidP="00D1116E">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5D292C" w:rsidRPr="00413682" w14:paraId="4CE63BEA" w14:textId="77777777" w:rsidTr="00B23725">
        <w:tc>
          <w:tcPr>
            <w:tcW w:w="1060" w:type="dxa"/>
          </w:tcPr>
          <w:p w14:paraId="3C55D291" w14:textId="77777777" w:rsidR="005D292C" w:rsidRPr="00593049" w:rsidRDefault="005D292C" w:rsidP="00F04281">
            <w:pPr>
              <w:rPr>
                <w:rFonts w:ascii="Verdana" w:hAnsi="Verdana"/>
                <w:b/>
                <w:i/>
              </w:rPr>
            </w:pPr>
            <w:r w:rsidRPr="00413682">
              <w:rPr>
                <w:rFonts w:ascii="Verdana" w:hAnsi="Verdana"/>
                <w:b/>
                <w:i/>
              </w:rPr>
              <w:t>Minute</w:t>
            </w:r>
          </w:p>
        </w:tc>
        <w:tc>
          <w:tcPr>
            <w:tcW w:w="3017" w:type="dxa"/>
          </w:tcPr>
          <w:p w14:paraId="437BE243" w14:textId="36466ABD" w:rsidR="005D292C" w:rsidRDefault="005D292C" w:rsidP="00F04281">
            <w:pPr>
              <w:rPr>
                <w:rFonts w:ascii="Verdana" w:hAnsi="Verdana"/>
                <w:b/>
                <w:i/>
              </w:rPr>
            </w:pPr>
            <w:r w:rsidRPr="00413682">
              <w:rPr>
                <w:rFonts w:ascii="Verdana" w:hAnsi="Verdana"/>
                <w:b/>
                <w:i/>
              </w:rPr>
              <w:t>Person</w:t>
            </w:r>
            <w:r w:rsidR="007161FF">
              <w:rPr>
                <w:rFonts w:ascii="Verdana" w:hAnsi="Verdana"/>
                <w:b/>
                <w:i/>
              </w:rPr>
              <w:t>(s)</w:t>
            </w:r>
            <w:r w:rsidRPr="00413682">
              <w:rPr>
                <w:rFonts w:ascii="Verdana" w:hAnsi="Verdana"/>
                <w:b/>
                <w:i/>
              </w:rPr>
              <w:t xml:space="preserve"> Responsible</w:t>
            </w:r>
          </w:p>
          <w:p w14:paraId="679A650C" w14:textId="77777777" w:rsidR="005D292C" w:rsidRPr="00593049" w:rsidRDefault="005D292C" w:rsidP="00F04281">
            <w:pPr>
              <w:rPr>
                <w:rFonts w:ascii="Verdana" w:hAnsi="Verdana"/>
                <w:bCs/>
                <w:iCs/>
              </w:rPr>
            </w:pPr>
          </w:p>
        </w:tc>
        <w:tc>
          <w:tcPr>
            <w:tcW w:w="5387" w:type="dxa"/>
          </w:tcPr>
          <w:p w14:paraId="29235E52" w14:textId="77777777" w:rsidR="005D292C" w:rsidRPr="00413682" w:rsidRDefault="005D292C" w:rsidP="00F04281">
            <w:pPr>
              <w:rPr>
                <w:rFonts w:ascii="Verdana" w:hAnsi="Verdana"/>
                <w:b/>
                <w:i/>
              </w:rPr>
            </w:pPr>
            <w:r w:rsidRPr="00413682">
              <w:rPr>
                <w:rFonts w:ascii="Verdana" w:hAnsi="Verdana"/>
                <w:b/>
                <w:i/>
              </w:rPr>
              <w:t>Action</w:t>
            </w:r>
          </w:p>
        </w:tc>
      </w:tr>
      <w:tr w:rsidR="005D292C" w:rsidRPr="0076515C" w14:paraId="57F7670C" w14:textId="77777777" w:rsidTr="00B23725">
        <w:tc>
          <w:tcPr>
            <w:tcW w:w="1060" w:type="dxa"/>
          </w:tcPr>
          <w:p w14:paraId="37956ED4" w14:textId="3543C758" w:rsidR="005D292C" w:rsidRPr="0076515C" w:rsidRDefault="003F65DA" w:rsidP="00F04281">
            <w:pPr>
              <w:rPr>
                <w:rFonts w:ascii="Verdana" w:hAnsi="Verdana"/>
                <w:b/>
                <w:iCs/>
              </w:rPr>
            </w:pPr>
            <w:r>
              <w:rPr>
                <w:rFonts w:ascii="Verdana" w:hAnsi="Verdana"/>
                <w:b/>
                <w:iCs/>
              </w:rPr>
              <w:t>5</w:t>
            </w:r>
          </w:p>
        </w:tc>
        <w:tc>
          <w:tcPr>
            <w:tcW w:w="3017" w:type="dxa"/>
          </w:tcPr>
          <w:p w14:paraId="7AC9874A" w14:textId="54F8D579" w:rsidR="00333DE9" w:rsidRPr="0076515C" w:rsidRDefault="003F65DA" w:rsidP="00F04281">
            <w:pPr>
              <w:rPr>
                <w:rFonts w:ascii="Verdana" w:hAnsi="Verdana"/>
                <w:bCs/>
                <w:iCs/>
              </w:rPr>
            </w:pPr>
            <w:r>
              <w:rPr>
                <w:rFonts w:ascii="Verdana" w:hAnsi="Verdana"/>
              </w:rPr>
              <w:t>Vice-Principal: Student Services and Recruitment</w:t>
            </w:r>
          </w:p>
        </w:tc>
        <w:tc>
          <w:tcPr>
            <w:tcW w:w="5387" w:type="dxa"/>
          </w:tcPr>
          <w:p w14:paraId="6F9C3DAF" w14:textId="0D3098B8" w:rsidR="0091383D" w:rsidRPr="003F65DA" w:rsidRDefault="003F65DA" w:rsidP="00F04281">
            <w:pPr>
              <w:rPr>
                <w:rFonts w:ascii="Verdana" w:hAnsi="Verdana"/>
              </w:rPr>
            </w:pPr>
            <w:r>
              <w:rPr>
                <w:rFonts w:ascii="Verdana" w:hAnsi="Verdana"/>
              </w:rPr>
              <w:t>C</w:t>
            </w:r>
            <w:r w:rsidR="00E94B5F">
              <w:rPr>
                <w:rFonts w:ascii="Verdana" w:hAnsi="Verdana"/>
              </w:rPr>
              <w:t xml:space="preserve">arry out a risk assessment </w:t>
            </w:r>
            <w:r>
              <w:rPr>
                <w:rFonts w:ascii="Verdana" w:hAnsi="Verdana"/>
              </w:rPr>
              <w:t>with</w:t>
            </w:r>
            <w:r w:rsidR="00E94B5F">
              <w:rPr>
                <w:rFonts w:ascii="Verdana" w:hAnsi="Verdana"/>
              </w:rPr>
              <w:t xml:space="preserve"> regard</w:t>
            </w:r>
            <w:r>
              <w:rPr>
                <w:rFonts w:ascii="Verdana" w:hAnsi="Verdana"/>
              </w:rPr>
              <w:t xml:space="preserve"> to the parent governor appointment pending DBS clearance.</w:t>
            </w:r>
          </w:p>
        </w:tc>
      </w:tr>
    </w:tbl>
    <w:p w14:paraId="135024DF" w14:textId="77777777" w:rsidR="00E7039A" w:rsidRPr="0095694F"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E606D"/>
    <w:multiLevelType w:val="hybridMultilevel"/>
    <w:tmpl w:val="E47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1171F"/>
    <w:rsid w:val="000141DF"/>
    <w:rsid w:val="00016225"/>
    <w:rsid w:val="000209B5"/>
    <w:rsid w:val="00022CEF"/>
    <w:rsid w:val="000231C5"/>
    <w:rsid w:val="000245AB"/>
    <w:rsid w:val="00030BF7"/>
    <w:rsid w:val="00030F14"/>
    <w:rsid w:val="00035F21"/>
    <w:rsid w:val="00036F36"/>
    <w:rsid w:val="00037531"/>
    <w:rsid w:val="000400D7"/>
    <w:rsid w:val="00040406"/>
    <w:rsid w:val="00041DDE"/>
    <w:rsid w:val="0004209D"/>
    <w:rsid w:val="00044EF9"/>
    <w:rsid w:val="000503AE"/>
    <w:rsid w:val="000506D6"/>
    <w:rsid w:val="00051831"/>
    <w:rsid w:val="00052347"/>
    <w:rsid w:val="00055820"/>
    <w:rsid w:val="000567D8"/>
    <w:rsid w:val="00060935"/>
    <w:rsid w:val="00060FE1"/>
    <w:rsid w:val="00063983"/>
    <w:rsid w:val="00063D0E"/>
    <w:rsid w:val="00065DCF"/>
    <w:rsid w:val="00070AF7"/>
    <w:rsid w:val="00077084"/>
    <w:rsid w:val="00093FD6"/>
    <w:rsid w:val="00094CAE"/>
    <w:rsid w:val="00096D55"/>
    <w:rsid w:val="000A052A"/>
    <w:rsid w:val="000A06F4"/>
    <w:rsid w:val="000A2A67"/>
    <w:rsid w:val="000A449E"/>
    <w:rsid w:val="000B183A"/>
    <w:rsid w:val="000B1DCD"/>
    <w:rsid w:val="000C1B41"/>
    <w:rsid w:val="000C1B57"/>
    <w:rsid w:val="000C225A"/>
    <w:rsid w:val="000C2886"/>
    <w:rsid w:val="000C707E"/>
    <w:rsid w:val="000C77F3"/>
    <w:rsid w:val="000D08CA"/>
    <w:rsid w:val="000D5163"/>
    <w:rsid w:val="000D5213"/>
    <w:rsid w:val="000D7BEE"/>
    <w:rsid w:val="000E0433"/>
    <w:rsid w:val="000E1083"/>
    <w:rsid w:val="000E16AF"/>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39BE"/>
    <w:rsid w:val="001042DA"/>
    <w:rsid w:val="001045FE"/>
    <w:rsid w:val="00111645"/>
    <w:rsid w:val="00112721"/>
    <w:rsid w:val="00112C84"/>
    <w:rsid w:val="001136BF"/>
    <w:rsid w:val="00113F98"/>
    <w:rsid w:val="00115107"/>
    <w:rsid w:val="00115F95"/>
    <w:rsid w:val="00116BB6"/>
    <w:rsid w:val="001224DA"/>
    <w:rsid w:val="00124603"/>
    <w:rsid w:val="00124E9E"/>
    <w:rsid w:val="00125818"/>
    <w:rsid w:val="00126AF3"/>
    <w:rsid w:val="00133915"/>
    <w:rsid w:val="00134094"/>
    <w:rsid w:val="001401AA"/>
    <w:rsid w:val="00140492"/>
    <w:rsid w:val="00142A12"/>
    <w:rsid w:val="00142CE9"/>
    <w:rsid w:val="0014508E"/>
    <w:rsid w:val="0014567F"/>
    <w:rsid w:val="001522DD"/>
    <w:rsid w:val="0015250F"/>
    <w:rsid w:val="001530F9"/>
    <w:rsid w:val="00153EF6"/>
    <w:rsid w:val="00155FC4"/>
    <w:rsid w:val="0015759B"/>
    <w:rsid w:val="001622EA"/>
    <w:rsid w:val="00162B90"/>
    <w:rsid w:val="00167331"/>
    <w:rsid w:val="0017068D"/>
    <w:rsid w:val="00170CFE"/>
    <w:rsid w:val="00171D41"/>
    <w:rsid w:val="001758CA"/>
    <w:rsid w:val="00184F07"/>
    <w:rsid w:val="00185F2A"/>
    <w:rsid w:val="00194DD9"/>
    <w:rsid w:val="001958AD"/>
    <w:rsid w:val="001960F7"/>
    <w:rsid w:val="00196161"/>
    <w:rsid w:val="00196EFD"/>
    <w:rsid w:val="00196F49"/>
    <w:rsid w:val="00197B0D"/>
    <w:rsid w:val="001A27FE"/>
    <w:rsid w:val="001A58AA"/>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D7C63"/>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570E"/>
    <w:rsid w:val="00217FDE"/>
    <w:rsid w:val="0022515C"/>
    <w:rsid w:val="002254C0"/>
    <w:rsid w:val="0022669C"/>
    <w:rsid w:val="00226DDD"/>
    <w:rsid w:val="0022772F"/>
    <w:rsid w:val="00234A01"/>
    <w:rsid w:val="00234AB6"/>
    <w:rsid w:val="00234AE0"/>
    <w:rsid w:val="002355E9"/>
    <w:rsid w:val="00236159"/>
    <w:rsid w:val="00240C3E"/>
    <w:rsid w:val="002435DF"/>
    <w:rsid w:val="00245635"/>
    <w:rsid w:val="002458CF"/>
    <w:rsid w:val="00246A42"/>
    <w:rsid w:val="00250922"/>
    <w:rsid w:val="00250C3B"/>
    <w:rsid w:val="00251D34"/>
    <w:rsid w:val="00252D98"/>
    <w:rsid w:val="0025435F"/>
    <w:rsid w:val="00256030"/>
    <w:rsid w:val="0025633D"/>
    <w:rsid w:val="002619F9"/>
    <w:rsid w:val="00261FA3"/>
    <w:rsid w:val="002651D3"/>
    <w:rsid w:val="00267CDF"/>
    <w:rsid w:val="002725A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B9C"/>
    <w:rsid w:val="002A4C20"/>
    <w:rsid w:val="002A70D4"/>
    <w:rsid w:val="002A7437"/>
    <w:rsid w:val="002A75E9"/>
    <w:rsid w:val="002A7E77"/>
    <w:rsid w:val="002B0284"/>
    <w:rsid w:val="002B5392"/>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787E"/>
    <w:rsid w:val="002F7DEC"/>
    <w:rsid w:val="0030100E"/>
    <w:rsid w:val="003026C1"/>
    <w:rsid w:val="0030279D"/>
    <w:rsid w:val="003043AD"/>
    <w:rsid w:val="00311CDB"/>
    <w:rsid w:val="003138A2"/>
    <w:rsid w:val="00315091"/>
    <w:rsid w:val="00320597"/>
    <w:rsid w:val="00320AE9"/>
    <w:rsid w:val="00320DA6"/>
    <w:rsid w:val="00322527"/>
    <w:rsid w:val="00322BCB"/>
    <w:rsid w:val="00323879"/>
    <w:rsid w:val="0032414C"/>
    <w:rsid w:val="00325300"/>
    <w:rsid w:val="00325676"/>
    <w:rsid w:val="003309A6"/>
    <w:rsid w:val="003324C9"/>
    <w:rsid w:val="0033337B"/>
    <w:rsid w:val="00333BD4"/>
    <w:rsid w:val="00333DE9"/>
    <w:rsid w:val="00335D0C"/>
    <w:rsid w:val="00340AF8"/>
    <w:rsid w:val="003416EC"/>
    <w:rsid w:val="00342531"/>
    <w:rsid w:val="0034332D"/>
    <w:rsid w:val="003512E7"/>
    <w:rsid w:val="003518F1"/>
    <w:rsid w:val="00353A51"/>
    <w:rsid w:val="00353F31"/>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349"/>
    <w:rsid w:val="003B593D"/>
    <w:rsid w:val="003B7B22"/>
    <w:rsid w:val="003B7D36"/>
    <w:rsid w:val="003C1F1A"/>
    <w:rsid w:val="003C2F39"/>
    <w:rsid w:val="003C3E5A"/>
    <w:rsid w:val="003D1A70"/>
    <w:rsid w:val="003D1B56"/>
    <w:rsid w:val="003D649A"/>
    <w:rsid w:val="003E0769"/>
    <w:rsid w:val="003E2346"/>
    <w:rsid w:val="003E40F8"/>
    <w:rsid w:val="003E6210"/>
    <w:rsid w:val="003E7098"/>
    <w:rsid w:val="003F65DA"/>
    <w:rsid w:val="003F7776"/>
    <w:rsid w:val="00401801"/>
    <w:rsid w:val="004064E3"/>
    <w:rsid w:val="00406B72"/>
    <w:rsid w:val="0041039E"/>
    <w:rsid w:val="0041369E"/>
    <w:rsid w:val="0041559A"/>
    <w:rsid w:val="00420E9D"/>
    <w:rsid w:val="004216A3"/>
    <w:rsid w:val="00423675"/>
    <w:rsid w:val="00423817"/>
    <w:rsid w:val="004251FD"/>
    <w:rsid w:val="00431DA6"/>
    <w:rsid w:val="00434778"/>
    <w:rsid w:val="00435C72"/>
    <w:rsid w:val="00437976"/>
    <w:rsid w:val="00446680"/>
    <w:rsid w:val="00454151"/>
    <w:rsid w:val="00461323"/>
    <w:rsid w:val="004634A5"/>
    <w:rsid w:val="004639D3"/>
    <w:rsid w:val="00465403"/>
    <w:rsid w:val="00470AB4"/>
    <w:rsid w:val="00470CC5"/>
    <w:rsid w:val="00473A09"/>
    <w:rsid w:val="00483963"/>
    <w:rsid w:val="00486A56"/>
    <w:rsid w:val="00490007"/>
    <w:rsid w:val="004905EB"/>
    <w:rsid w:val="00491066"/>
    <w:rsid w:val="0049367C"/>
    <w:rsid w:val="004954E5"/>
    <w:rsid w:val="00497A5A"/>
    <w:rsid w:val="004A0A3E"/>
    <w:rsid w:val="004A1414"/>
    <w:rsid w:val="004A219C"/>
    <w:rsid w:val="004A24A8"/>
    <w:rsid w:val="004A24B9"/>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9DC"/>
    <w:rsid w:val="004E1D8B"/>
    <w:rsid w:val="004E2507"/>
    <w:rsid w:val="004E5001"/>
    <w:rsid w:val="004E505D"/>
    <w:rsid w:val="004E5095"/>
    <w:rsid w:val="004E64E5"/>
    <w:rsid w:val="004F0C14"/>
    <w:rsid w:val="004F30C3"/>
    <w:rsid w:val="004F4D02"/>
    <w:rsid w:val="004F5B53"/>
    <w:rsid w:val="004F65F6"/>
    <w:rsid w:val="00501CF0"/>
    <w:rsid w:val="0050502A"/>
    <w:rsid w:val="005058FC"/>
    <w:rsid w:val="00510468"/>
    <w:rsid w:val="0051204C"/>
    <w:rsid w:val="005138C7"/>
    <w:rsid w:val="00513EE2"/>
    <w:rsid w:val="0051446E"/>
    <w:rsid w:val="00514F7F"/>
    <w:rsid w:val="0051605D"/>
    <w:rsid w:val="005166BE"/>
    <w:rsid w:val="00520E93"/>
    <w:rsid w:val="00526684"/>
    <w:rsid w:val="00526FB6"/>
    <w:rsid w:val="00530C71"/>
    <w:rsid w:val="005324A8"/>
    <w:rsid w:val="00532956"/>
    <w:rsid w:val="00533A3E"/>
    <w:rsid w:val="00534970"/>
    <w:rsid w:val="005353E5"/>
    <w:rsid w:val="00537251"/>
    <w:rsid w:val="0053726C"/>
    <w:rsid w:val="005375AB"/>
    <w:rsid w:val="00541F68"/>
    <w:rsid w:val="00544994"/>
    <w:rsid w:val="005456B2"/>
    <w:rsid w:val="00545921"/>
    <w:rsid w:val="00553942"/>
    <w:rsid w:val="00553AEF"/>
    <w:rsid w:val="005557A1"/>
    <w:rsid w:val="00562BF3"/>
    <w:rsid w:val="005633AA"/>
    <w:rsid w:val="00563CED"/>
    <w:rsid w:val="005661C6"/>
    <w:rsid w:val="00566FFB"/>
    <w:rsid w:val="005721F0"/>
    <w:rsid w:val="00577A7B"/>
    <w:rsid w:val="00583375"/>
    <w:rsid w:val="00584EF6"/>
    <w:rsid w:val="00586E40"/>
    <w:rsid w:val="0059287F"/>
    <w:rsid w:val="005936E4"/>
    <w:rsid w:val="00595474"/>
    <w:rsid w:val="005A0EF0"/>
    <w:rsid w:val="005A4244"/>
    <w:rsid w:val="005A4704"/>
    <w:rsid w:val="005A472C"/>
    <w:rsid w:val="005A6159"/>
    <w:rsid w:val="005A6461"/>
    <w:rsid w:val="005B2D41"/>
    <w:rsid w:val="005B33AC"/>
    <w:rsid w:val="005B46F7"/>
    <w:rsid w:val="005B4B2B"/>
    <w:rsid w:val="005B50C7"/>
    <w:rsid w:val="005B54FF"/>
    <w:rsid w:val="005B5886"/>
    <w:rsid w:val="005B5C43"/>
    <w:rsid w:val="005B667A"/>
    <w:rsid w:val="005B75E2"/>
    <w:rsid w:val="005C078E"/>
    <w:rsid w:val="005C7418"/>
    <w:rsid w:val="005D008D"/>
    <w:rsid w:val="005D13E1"/>
    <w:rsid w:val="005D27EB"/>
    <w:rsid w:val="005D292C"/>
    <w:rsid w:val="005D2A7B"/>
    <w:rsid w:val="005D3535"/>
    <w:rsid w:val="005D46B5"/>
    <w:rsid w:val="005D4F3D"/>
    <w:rsid w:val="005D57D0"/>
    <w:rsid w:val="005D70A6"/>
    <w:rsid w:val="005D7345"/>
    <w:rsid w:val="005E054A"/>
    <w:rsid w:val="005E0A60"/>
    <w:rsid w:val="005E16BE"/>
    <w:rsid w:val="005E3D7B"/>
    <w:rsid w:val="005E7B20"/>
    <w:rsid w:val="005F0B56"/>
    <w:rsid w:val="005F1CB0"/>
    <w:rsid w:val="005F37AD"/>
    <w:rsid w:val="00600C11"/>
    <w:rsid w:val="00600DA4"/>
    <w:rsid w:val="00606543"/>
    <w:rsid w:val="00611445"/>
    <w:rsid w:val="006114E0"/>
    <w:rsid w:val="00614109"/>
    <w:rsid w:val="00614B43"/>
    <w:rsid w:val="0061780A"/>
    <w:rsid w:val="006207D7"/>
    <w:rsid w:val="00621528"/>
    <w:rsid w:val="006222F4"/>
    <w:rsid w:val="00623B3B"/>
    <w:rsid w:val="00630E28"/>
    <w:rsid w:val="00631A97"/>
    <w:rsid w:val="0063232E"/>
    <w:rsid w:val="00632D53"/>
    <w:rsid w:val="0063528E"/>
    <w:rsid w:val="00635334"/>
    <w:rsid w:val="00635DEB"/>
    <w:rsid w:val="00637149"/>
    <w:rsid w:val="00637AC4"/>
    <w:rsid w:val="00642E35"/>
    <w:rsid w:val="00644B6C"/>
    <w:rsid w:val="00647D88"/>
    <w:rsid w:val="0065063F"/>
    <w:rsid w:val="00653E4D"/>
    <w:rsid w:val="006639B2"/>
    <w:rsid w:val="006647E8"/>
    <w:rsid w:val="00665567"/>
    <w:rsid w:val="006747C4"/>
    <w:rsid w:val="00675C0F"/>
    <w:rsid w:val="00681838"/>
    <w:rsid w:val="006825FC"/>
    <w:rsid w:val="00684475"/>
    <w:rsid w:val="00684878"/>
    <w:rsid w:val="00691D23"/>
    <w:rsid w:val="00691F17"/>
    <w:rsid w:val="00692093"/>
    <w:rsid w:val="00692683"/>
    <w:rsid w:val="0069318D"/>
    <w:rsid w:val="006970D3"/>
    <w:rsid w:val="00697DA3"/>
    <w:rsid w:val="00697FF6"/>
    <w:rsid w:val="006A13C1"/>
    <w:rsid w:val="006A1923"/>
    <w:rsid w:val="006A2808"/>
    <w:rsid w:val="006A3A08"/>
    <w:rsid w:val="006A3E9F"/>
    <w:rsid w:val="006A5295"/>
    <w:rsid w:val="006B20E0"/>
    <w:rsid w:val="006B5ED8"/>
    <w:rsid w:val="006B6BD1"/>
    <w:rsid w:val="006B6F59"/>
    <w:rsid w:val="006C03D3"/>
    <w:rsid w:val="006C5398"/>
    <w:rsid w:val="006C6414"/>
    <w:rsid w:val="006C65B3"/>
    <w:rsid w:val="006D1C0D"/>
    <w:rsid w:val="006D26D8"/>
    <w:rsid w:val="006D35C6"/>
    <w:rsid w:val="006D3CDD"/>
    <w:rsid w:val="006D417F"/>
    <w:rsid w:val="006D771C"/>
    <w:rsid w:val="006D7ACD"/>
    <w:rsid w:val="006D7E88"/>
    <w:rsid w:val="006E01A4"/>
    <w:rsid w:val="006E0305"/>
    <w:rsid w:val="006E06F0"/>
    <w:rsid w:val="006E612A"/>
    <w:rsid w:val="006F22DE"/>
    <w:rsid w:val="006F3131"/>
    <w:rsid w:val="006F36DB"/>
    <w:rsid w:val="006F4FD3"/>
    <w:rsid w:val="006F5745"/>
    <w:rsid w:val="00701D99"/>
    <w:rsid w:val="007038CA"/>
    <w:rsid w:val="007053DD"/>
    <w:rsid w:val="00707843"/>
    <w:rsid w:val="007139E2"/>
    <w:rsid w:val="0071505C"/>
    <w:rsid w:val="007161FF"/>
    <w:rsid w:val="00720C19"/>
    <w:rsid w:val="007248A9"/>
    <w:rsid w:val="00725A73"/>
    <w:rsid w:val="007271C0"/>
    <w:rsid w:val="007305E9"/>
    <w:rsid w:val="00731EDA"/>
    <w:rsid w:val="00733C9E"/>
    <w:rsid w:val="00734005"/>
    <w:rsid w:val="00742F6E"/>
    <w:rsid w:val="007441D0"/>
    <w:rsid w:val="007441F7"/>
    <w:rsid w:val="00744846"/>
    <w:rsid w:val="00744F2C"/>
    <w:rsid w:val="007472AD"/>
    <w:rsid w:val="00747A3C"/>
    <w:rsid w:val="0075071D"/>
    <w:rsid w:val="00751B72"/>
    <w:rsid w:val="00753A71"/>
    <w:rsid w:val="00755007"/>
    <w:rsid w:val="0075617A"/>
    <w:rsid w:val="00756FDE"/>
    <w:rsid w:val="0076341C"/>
    <w:rsid w:val="007645C7"/>
    <w:rsid w:val="00765201"/>
    <w:rsid w:val="0076575B"/>
    <w:rsid w:val="0077129F"/>
    <w:rsid w:val="007729A3"/>
    <w:rsid w:val="00774B62"/>
    <w:rsid w:val="00774FE1"/>
    <w:rsid w:val="00776898"/>
    <w:rsid w:val="00777190"/>
    <w:rsid w:val="00777E98"/>
    <w:rsid w:val="00780B7F"/>
    <w:rsid w:val="007821BE"/>
    <w:rsid w:val="007823C0"/>
    <w:rsid w:val="00786B6A"/>
    <w:rsid w:val="00786D4B"/>
    <w:rsid w:val="00787DEF"/>
    <w:rsid w:val="00794D8B"/>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9"/>
    <w:rsid w:val="007D1009"/>
    <w:rsid w:val="007D483C"/>
    <w:rsid w:val="007D4B6C"/>
    <w:rsid w:val="007D591A"/>
    <w:rsid w:val="007D6FCE"/>
    <w:rsid w:val="007E0B70"/>
    <w:rsid w:val="007F1693"/>
    <w:rsid w:val="007F1AA9"/>
    <w:rsid w:val="007F27F5"/>
    <w:rsid w:val="007F2FD1"/>
    <w:rsid w:val="007F36D5"/>
    <w:rsid w:val="007F526B"/>
    <w:rsid w:val="007F5318"/>
    <w:rsid w:val="007F68CE"/>
    <w:rsid w:val="007F716A"/>
    <w:rsid w:val="007F77A4"/>
    <w:rsid w:val="00803785"/>
    <w:rsid w:val="008139FF"/>
    <w:rsid w:val="0081417E"/>
    <w:rsid w:val="0081462C"/>
    <w:rsid w:val="00815C1E"/>
    <w:rsid w:val="008175F1"/>
    <w:rsid w:val="0082097F"/>
    <w:rsid w:val="00821099"/>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61BB"/>
    <w:rsid w:val="008475DE"/>
    <w:rsid w:val="00847669"/>
    <w:rsid w:val="00847BFE"/>
    <w:rsid w:val="00860051"/>
    <w:rsid w:val="008603FC"/>
    <w:rsid w:val="00863864"/>
    <w:rsid w:val="00864A0F"/>
    <w:rsid w:val="0087007F"/>
    <w:rsid w:val="00871849"/>
    <w:rsid w:val="00871A54"/>
    <w:rsid w:val="008733F5"/>
    <w:rsid w:val="008771E8"/>
    <w:rsid w:val="00880D50"/>
    <w:rsid w:val="008817E7"/>
    <w:rsid w:val="00881CDE"/>
    <w:rsid w:val="00882C2F"/>
    <w:rsid w:val="00887D9A"/>
    <w:rsid w:val="008902C2"/>
    <w:rsid w:val="00892609"/>
    <w:rsid w:val="0089265D"/>
    <w:rsid w:val="00892BF1"/>
    <w:rsid w:val="00895DBB"/>
    <w:rsid w:val="008A2321"/>
    <w:rsid w:val="008A2908"/>
    <w:rsid w:val="008A3546"/>
    <w:rsid w:val="008A3C38"/>
    <w:rsid w:val="008B1523"/>
    <w:rsid w:val="008B1F0D"/>
    <w:rsid w:val="008B2159"/>
    <w:rsid w:val="008B287E"/>
    <w:rsid w:val="008B2B96"/>
    <w:rsid w:val="008B53E4"/>
    <w:rsid w:val="008B54D5"/>
    <w:rsid w:val="008B77BB"/>
    <w:rsid w:val="008B7EB2"/>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3814"/>
    <w:rsid w:val="0090446C"/>
    <w:rsid w:val="0090541B"/>
    <w:rsid w:val="00906858"/>
    <w:rsid w:val="00907B9A"/>
    <w:rsid w:val="009100A8"/>
    <w:rsid w:val="00910AE8"/>
    <w:rsid w:val="00911F44"/>
    <w:rsid w:val="009124CA"/>
    <w:rsid w:val="0091274C"/>
    <w:rsid w:val="0091383D"/>
    <w:rsid w:val="0091694C"/>
    <w:rsid w:val="0092097C"/>
    <w:rsid w:val="0092107D"/>
    <w:rsid w:val="009215CB"/>
    <w:rsid w:val="00921F35"/>
    <w:rsid w:val="00922660"/>
    <w:rsid w:val="00924009"/>
    <w:rsid w:val="00924F2A"/>
    <w:rsid w:val="00924F93"/>
    <w:rsid w:val="009253A0"/>
    <w:rsid w:val="00925C2A"/>
    <w:rsid w:val="009270C0"/>
    <w:rsid w:val="00930A5C"/>
    <w:rsid w:val="009316E3"/>
    <w:rsid w:val="00931FCE"/>
    <w:rsid w:val="00933D73"/>
    <w:rsid w:val="009349D2"/>
    <w:rsid w:val="009351F4"/>
    <w:rsid w:val="009361FC"/>
    <w:rsid w:val="00942312"/>
    <w:rsid w:val="009424DC"/>
    <w:rsid w:val="0094406B"/>
    <w:rsid w:val="00944C47"/>
    <w:rsid w:val="009453EF"/>
    <w:rsid w:val="009518E9"/>
    <w:rsid w:val="00952723"/>
    <w:rsid w:val="00952E86"/>
    <w:rsid w:val="009533E3"/>
    <w:rsid w:val="00954356"/>
    <w:rsid w:val="0095694F"/>
    <w:rsid w:val="00961462"/>
    <w:rsid w:val="00962C3C"/>
    <w:rsid w:val="00963F00"/>
    <w:rsid w:val="009646EF"/>
    <w:rsid w:val="009646F1"/>
    <w:rsid w:val="009654A2"/>
    <w:rsid w:val="009701EF"/>
    <w:rsid w:val="00970294"/>
    <w:rsid w:val="0097147A"/>
    <w:rsid w:val="009716E6"/>
    <w:rsid w:val="00973536"/>
    <w:rsid w:val="00973B27"/>
    <w:rsid w:val="00973FB0"/>
    <w:rsid w:val="009752D4"/>
    <w:rsid w:val="0097571F"/>
    <w:rsid w:val="00976BE9"/>
    <w:rsid w:val="009804AF"/>
    <w:rsid w:val="0098566B"/>
    <w:rsid w:val="009912B0"/>
    <w:rsid w:val="0099145F"/>
    <w:rsid w:val="00991739"/>
    <w:rsid w:val="009927F4"/>
    <w:rsid w:val="00993534"/>
    <w:rsid w:val="00996605"/>
    <w:rsid w:val="0099713C"/>
    <w:rsid w:val="009A1050"/>
    <w:rsid w:val="009A2F81"/>
    <w:rsid w:val="009A4273"/>
    <w:rsid w:val="009A5DEB"/>
    <w:rsid w:val="009B1B72"/>
    <w:rsid w:val="009B21DB"/>
    <w:rsid w:val="009B3DC4"/>
    <w:rsid w:val="009B3E5E"/>
    <w:rsid w:val="009B4F99"/>
    <w:rsid w:val="009C21D7"/>
    <w:rsid w:val="009C2679"/>
    <w:rsid w:val="009C42B3"/>
    <w:rsid w:val="009C7CD6"/>
    <w:rsid w:val="009D1DF9"/>
    <w:rsid w:val="009D335D"/>
    <w:rsid w:val="009D3EE7"/>
    <w:rsid w:val="009D46BF"/>
    <w:rsid w:val="009E177C"/>
    <w:rsid w:val="009E1B18"/>
    <w:rsid w:val="009E2F8F"/>
    <w:rsid w:val="009E7236"/>
    <w:rsid w:val="009E72FC"/>
    <w:rsid w:val="009F196D"/>
    <w:rsid w:val="009F2B73"/>
    <w:rsid w:val="009F3D39"/>
    <w:rsid w:val="00A04979"/>
    <w:rsid w:val="00A1133D"/>
    <w:rsid w:val="00A13033"/>
    <w:rsid w:val="00A144D0"/>
    <w:rsid w:val="00A144DD"/>
    <w:rsid w:val="00A2087F"/>
    <w:rsid w:val="00A21532"/>
    <w:rsid w:val="00A228B7"/>
    <w:rsid w:val="00A233AD"/>
    <w:rsid w:val="00A23853"/>
    <w:rsid w:val="00A25267"/>
    <w:rsid w:val="00A30799"/>
    <w:rsid w:val="00A36503"/>
    <w:rsid w:val="00A369DC"/>
    <w:rsid w:val="00A419B5"/>
    <w:rsid w:val="00A4569D"/>
    <w:rsid w:val="00A45915"/>
    <w:rsid w:val="00A579E4"/>
    <w:rsid w:val="00A57DBC"/>
    <w:rsid w:val="00A60B84"/>
    <w:rsid w:val="00A61C85"/>
    <w:rsid w:val="00A62166"/>
    <w:rsid w:val="00A643BA"/>
    <w:rsid w:val="00A64D0F"/>
    <w:rsid w:val="00A653E8"/>
    <w:rsid w:val="00A655EF"/>
    <w:rsid w:val="00A6787B"/>
    <w:rsid w:val="00A711DE"/>
    <w:rsid w:val="00A71CB2"/>
    <w:rsid w:val="00A727F0"/>
    <w:rsid w:val="00A73BDA"/>
    <w:rsid w:val="00A77A69"/>
    <w:rsid w:val="00A80046"/>
    <w:rsid w:val="00A8102C"/>
    <w:rsid w:val="00A8116C"/>
    <w:rsid w:val="00A820D4"/>
    <w:rsid w:val="00A85E3F"/>
    <w:rsid w:val="00A86247"/>
    <w:rsid w:val="00A865B6"/>
    <w:rsid w:val="00A87174"/>
    <w:rsid w:val="00A87DCC"/>
    <w:rsid w:val="00A90C8D"/>
    <w:rsid w:val="00A928F5"/>
    <w:rsid w:val="00A94517"/>
    <w:rsid w:val="00A9676D"/>
    <w:rsid w:val="00A97A6A"/>
    <w:rsid w:val="00AA2B56"/>
    <w:rsid w:val="00AA666E"/>
    <w:rsid w:val="00AB044C"/>
    <w:rsid w:val="00AB19E7"/>
    <w:rsid w:val="00AB324E"/>
    <w:rsid w:val="00AB384E"/>
    <w:rsid w:val="00AB429F"/>
    <w:rsid w:val="00AB4DA3"/>
    <w:rsid w:val="00AC1B01"/>
    <w:rsid w:val="00AC50E3"/>
    <w:rsid w:val="00AC52E4"/>
    <w:rsid w:val="00AC69F4"/>
    <w:rsid w:val="00AD077E"/>
    <w:rsid w:val="00AD090D"/>
    <w:rsid w:val="00AD0C91"/>
    <w:rsid w:val="00AD19CB"/>
    <w:rsid w:val="00AD41F3"/>
    <w:rsid w:val="00AD429D"/>
    <w:rsid w:val="00AE048D"/>
    <w:rsid w:val="00AE2DD2"/>
    <w:rsid w:val="00AE37F8"/>
    <w:rsid w:val="00AE4F8B"/>
    <w:rsid w:val="00AE7CDB"/>
    <w:rsid w:val="00AF1111"/>
    <w:rsid w:val="00AF1E04"/>
    <w:rsid w:val="00AF6BD0"/>
    <w:rsid w:val="00AF7FA0"/>
    <w:rsid w:val="00B02709"/>
    <w:rsid w:val="00B046C1"/>
    <w:rsid w:val="00B07D6B"/>
    <w:rsid w:val="00B1241F"/>
    <w:rsid w:val="00B13C47"/>
    <w:rsid w:val="00B14E35"/>
    <w:rsid w:val="00B1510B"/>
    <w:rsid w:val="00B16AC7"/>
    <w:rsid w:val="00B217BB"/>
    <w:rsid w:val="00B22BAC"/>
    <w:rsid w:val="00B23725"/>
    <w:rsid w:val="00B263E0"/>
    <w:rsid w:val="00B27044"/>
    <w:rsid w:val="00B27B0D"/>
    <w:rsid w:val="00B35814"/>
    <w:rsid w:val="00B373AC"/>
    <w:rsid w:val="00B40EA8"/>
    <w:rsid w:val="00B43BEE"/>
    <w:rsid w:val="00B44327"/>
    <w:rsid w:val="00B459ED"/>
    <w:rsid w:val="00B46BD1"/>
    <w:rsid w:val="00B51AE1"/>
    <w:rsid w:val="00B5405F"/>
    <w:rsid w:val="00B54847"/>
    <w:rsid w:val="00B5570E"/>
    <w:rsid w:val="00B6258A"/>
    <w:rsid w:val="00B63B4E"/>
    <w:rsid w:val="00B646E7"/>
    <w:rsid w:val="00B65101"/>
    <w:rsid w:val="00B65C01"/>
    <w:rsid w:val="00B6763E"/>
    <w:rsid w:val="00B70976"/>
    <w:rsid w:val="00B72534"/>
    <w:rsid w:val="00B7723E"/>
    <w:rsid w:val="00B7746D"/>
    <w:rsid w:val="00B779AC"/>
    <w:rsid w:val="00B82F76"/>
    <w:rsid w:val="00B83BCF"/>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B7CBF"/>
    <w:rsid w:val="00BC07A7"/>
    <w:rsid w:val="00BC372B"/>
    <w:rsid w:val="00BC601B"/>
    <w:rsid w:val="00BC625D"/>
    <w:rsid w:val="00BD0D28"/>
    <w:rsid w:val="00BD2541"/>
    <w:rsid w:val="00BD26F6"/>
    <w:rsid w:val="00BD30C3"/>
    <w:rsid w:val="00BD31C9"/>
    <w:rsid w:val="00BD40CF"/>
    <w:rsid w:val="00BD673A"/>
    <w:rsid w:val="00BD7A28"/>
    <w:rsid w:val="00BD7CDE"/>
    <w:rsid w:val="00BE1350"/>
    <w:rsid w:val="00BE1D6E"/>
    <w:rsid w:val="00BE2AFA"/>
    <w:rsid w:val="00BE3023"/>
    <w:rsid w:val="00BE33F9"/>
    <w:rsid w:val="00BE4F12"/>
    <w:rsid w:val="00BE56A2"/>
    <w:rsid w:val="00BE69B2"/>
    <w:rsid w:val="00BF30C2"/>
    <w:rsid w:val="00BF3724"/>
    <w:rsid w:val="00BF44E7"/>
    <w:rsid w:val="00BF4C37"/>
    <w:rsid w:val="00BF6E78"/>
    <w:rsid w:val="00BF7CE4"/>
    <w:rsid w:val="00C0326F"/>
    <w:rsid w:val="00C037C4"/>
    <w:rsid w:val="00C037CF"/>
    <w:rsid w:val="00C04C02"/>
    <w:rsid w:val="00C119B2"/>
    <w:rsid w:val="00C13C7F"/>
    <w:rsid w:val="00C146FD"/>
    <w:rsid w:val="00C16AFB"/>
    <w:rsid w:val="00C177F5"/>
    <w:rsid w:val="00C17DF8"/>
    <w:rsid w:val="00C21B85"/>
    <w:rsid w:val="00C21FDA"/>
    <w:rsid w:val="00C24E37"/>
    <w:rsid w:val="00C3060D"/>
    <w:rsid w:val="00C332E1"/>
    <w:rsid w:val="00C343F0"/>
    <w:rsid w:val="00C3569D"/>
    <w:rsid w:val="00C365CA"/>
    <w:rsid w:val="00C378E1"/>
    <w:rsid w:val="00C4152A"/>
    <w:rsid w:val="00C41A27"/>
    <w:rsid w:val="00C41E0A"/>
    <w:rsid w:val="00C444CA"/>
    <w:rsid w:val="00C459D2"/>
    <w:rsid w:val="00C477CF"/>
    <w:rsid w:val="00C527A3"/>
    <w:rsid w:val="00C5354D"/>
    <w:rsid w:val="00C56A39"/>
    <w:rsid w:val="00C573C9"/>
    <w:rsid w:val="00C615E4"/>
    <w:rsid w:val="00C61AF2"/>
    <w:rsid w:val="00C622F1"/>
    <w:rsid w:val="00C62B76"/>
    <w:rsid w:val="00C65C90"/>
    <w:rsid w:val="00C674B3"/>
    <w:rsid w:val="00C70207"/>
    <w:rsid w:val="00C71047"/>
    <w:rsid w:val="00C72C56"/>
    <w:rsid w:val="00C736D9"/>
    <w:rsid w:val="00C742A0"/>
    <w:rsid w:val="00C746A0"/>
    <w:rsid w:val="00C761BA"/>
    <w:rsid w:val="00C768B6"/>
    <w:rsid w:val="00C77F3F"/>
    <w:rsid w:val="00C82102"/>
    <w:rsid w:val="00C822F1"/>
    <w:rsid w:val="00C835D2"/>
    <w:rsid w:val="00C83B79"/>
    <w:rsid w:val="00C845FC"/>
    <w:rsid w:val="00C85559"/>
    <w:rsid w:val="00C86937"/>
    <w:rsid w:val="00C86982"/>
    <w:rsid w:val="00C869A6"/>
    <w:rsid w:val="00C86CAD"/>
    <w:rsid w:val="00C872FE"/>
    <w:rsid w:val="00C8762A"/>
    <w:rsid w:val="00C92640"/>
    <w:rsid w:val="00C95983"/>
    <w:rsid w:val="00C95A8E"/>
    <w:rsid w:val="00C96CB2"/>
    <w:rsid w:val="00CA1606"/>
    <w:rsid w:val="00CA24A9"/>
    <w:rsid w:val="00CA44F9"/>
    <w:rsid w:val="00CA4C9D"/>
    <w:rsid w:val="00CB1411"/>
    <w:rsid w:val="00CB2F25"/>
    <w:rsid w:val="00CB5C16"/>
    <w:rsid w:val="00CC0AD4"/>
    <w:rsid w:val="00CC2922"/>
    <w:rsid w:val="00CC33E3"/>
    <w:rsid w:val="00CC3D40"/>
    <w:rsid w:val="00CC47D6"/>
    <w:rsid w:val="00CC4F56"/>
    <w:rsid w:val="00CC6B32"/>
    <w:rsid w:val="00CC745D"/>
    <w:rsid w:val="00CD015D"/>
    <w:rsid w:val="00CE216E"/>
    <w:rsid w:val="00CE49FA"/>
    <w:rsid w:val="00CF23C5"/>
    <w:rsid w:val="00CF2BF1"/>
    <w:rsid w:val="00CF468D"/>
    <w:rsid w:val="00CF632F"/>
    <w:rsid w:val="00CF7519"/>
    <w:rsid w:val="00CF77A9"/>
    <w:rsid w:val="00D00979"/>
    <w:rsid w:val="00D03066"/>
    <w:rsid w:val="00D032E8"/>
    <w:rsid w:val="00D1116E"/>
    <w:rsid w:val="00D113DF"/>
    <w:rsid w:val="00D1148A"/>
    <w:rsid w:val="00D12383"/>
    <w:rsid w:val="00D12785"/>
    <w:rsid w:val="00D13399"/>
    <w:rsid w:val="00D13DBD"/>
    <w:rsid w:val="00D15481"/>
    <w:rsid w:val="00D16730"/>
    <w:rsid w:val="00D20EAB"/>
    <w:rsid w:val="00D213D4"/>
    <w:rsid w:val="00D23E10"/>
    <w:rsid w:val="00D24508"/>
    <w:rsid w:val="00D25244"/>
    <w:rsid w:val="00D25FE9"/>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4228"/>
    <w:rsid w:val="00D74528"/>
    <w:rsid w:val="00D74F21"/>
    <w:rsid w:val="00D77276"/>
    <w:rsid w:val="00D773F5"/>
    <w:rsid w:val="00D77637"/>
    <w:rsid w:val="00D82478"/>
    <w:rsid w:val="00D83C87"/>
    <w:rsid w:val="00D84539"/>
    <w:rsid w:val="00D96113"/>
    <w:rsid w:val="00D97238"/>
    <w:rsid w:val="00DA0E8D"/>
    <w:rsid w:val="00DA21AC"/>
    <w:rsid w:val="00DA30A9"/>
    <w:rsid w:val="00DA5748"/>
    <w:rsid w:val="00DA578D"/>
    <w:rsid w:val="00DA5EBA"/>
    <w:rsid w:val="00DA6AA3"/>
    <w:rsid w:val="00DA7382"/>
    <w:rsid w:val="00DA7B50"/>
    <w:rsid w:val="00DB134D"/>
    <w:rsid w:val="00DB6E39"/>
    <w:rsid w:val="00DC707C"/>
    <w:rsid w:val="00DD04D5"/>
    <w:rsid w:val="00DD085D"/>
    <w:rsid w:val="00DD2A10"/>
    <w:rsid w:val="00DD3E5A"/>
    <w:rsid w:val="00DD45AB"/>
    <w:rsid w:val="00DD5126"/>
    <w:rsid w:val="00DD67CC"/>
    <w:rsid w:val="00DE24FB"/>
    <w:rsid w:val="00DE2639"/>
    <w:rsid w:val="00DE3240"/>
    <w:rsid w:val="00DE57E3"/>
    <w:rsid w:val="00DE74BE"/>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588"/>
    <w:rsid w:val="00E317CA"/>
    <w:rsid w:val="00E31D90"/>
    <w:rsid w:val="00E34BF5"/>
    <w:rsid w:val="00E354B8"/>
    <w:rsid w:val="00E35E16"/>
    <w:rsid w:val="00E36165"/>
    <w:rsid w:val="00E366DB"/>
    <w:rsid w:val="00E41859"/>
    <w:rsid w:val="00E43C59"/>
    <w:rsid w:val="00E4675C"/>
    <w:rsid w:val="00E52196"/>
    <w:rsid w:val="00E54B88"/>
    <w:rsid w:val="00E56C6E"/>
    <w:rsid w:val="00E62134"/>
    <w:rsid w:val="00E64DB0"/>
    <w:rsid w:val="00E6639C"/>
    <w:rsid w:val="00E7039A"/>
    <w:rsid w:val="00E70EB0"/>
    <w:rsid w:val="00E71694"/>
    <w:rsid w:val="00E71EE0"/>
    <w:rsid w:val="00E72239"/>
    <w:rsid w:val="00E7739D"/>
    <w:rsid w:val="00E8138C"/>
    <w:rsid w:val="00E814F8"/>
    <w:rsid w:val="00E845FC"/>
    <w:rsid w:val="00E86286"/>
    <w:rsid w:val="00E90114"/>
    <w:rsid w:val="00E908EB"/>
    <w:rsid w:val="00E90E66"/>
    <w:rsid w:val="00E915DA"/>
    <w:rsid w:val="00E9479B"/>
    <w:rsid w:val="00E94942"/>
    <w:rsid w:val="00E94B4B"/>
    <w:rsid w:val="00E94B5F"/>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C244A"/>
    <w:rsid w:val="00EC5596"/>
    <w:rsid w:val="00EC70FD"/>
    <w:rsid w:val="00ED4221"/>
    <w:rsid w:val="00ED6730"/>
    <w:rsid w:val="00ED77F4"/>
    <w:rsid w:val="00EE052F"/>
    <w:rsid w:val="00EE2E73"/>
    <w:rsid w:val="00EE3769"/>
    <w:rsid w:val="00EE3DC7"/>
    <w:rsid w:val="00EE4C7A"/>
    <w:rsid w:val="00EE505B"/>
    <w:rsid w:val="00EE7A6E"/>
    <w:rsid w:val="00EF07FC"/>
    <w:rsid w:val="00EF175E"/>
    <w:rsid w:val="00EF2CC1"/>
    <w:rsid w:val="00EF79AC"/>
    <w:rsid w:val="00F00315"/>
    <w:rsid w:val="00F00C1F"/>
    <w:rsid w:val="00F02127"/>
    <w:rsid w:val="00F04281"/>
    <w:rsid w:val="00F10A1E"/>
    <w:rsid w:val="00F11968"/>
    <w:rsid w:val="00F135F2"/>
    <w:rsid w:val="00F139F0"/>
    <w:rsid w:val="00F158A6"/>
    <w:rsid w:val="00F178DB"/>
    <w:rsid w:val="00F2027E"/>
    <w:rsid w:val="00F202A7"/>
    <w:rsid w:val="00F21653"/>
    <w:rsid w:val="00F22C1D"/>
    <w:rsid w:val="00F233FC"/>
    <w:rsid w:val="00F24003"/>
    <w:rsid w:val="00F24E3B"/>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240"/>
    <w:rsid w:val="00F53EE6"/>
    <w:rsid w:val="00F55275"/>
    <w:rsid w:val="00F57C58"/>
    <w:rsid w:val="00F61AC6"/>
    <w:rsid w:val="00F63532"/>
    <w:rsid w:val="00F644E9"/>
    <w:rsid w:val="00F64868"/>
    <w:rsid w:val="00F65DD9"/>
    <w:rsid w:val="00F6785F"/>
    <w:rsid w:val="00F70213"/>
    <w:rsid w:val="00F702AC"/>
    <w:rsid w:val="00F70579"/>
    <w:rsid w:val="00F73EA8"/>
    <w:rsid w:val="00F77F08"/>
    <w:rsid w:val="00F835B6"/>
    <w:rsid w:val="00F83637"/>
    <w:rsid w:val="00F83F8F"/>
    <w:rsid w:val="00F84292"/>
    <w:rsid w:val="00F848BD"/>
    <w:rsid w:val="00F85B93"/>
    <w:rsid w:val="00F86462"/>
    <w:rsid w:val="00F92C6E"/>
    <w:rsid w:val="00F947CA"/>
    <w:rsid w:val="00F94D10"/>
    <w:rsid w:val="00F9578C"/>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17"/>
    <w:rsid w:val="00FF32EF"/>
    <w:rsid w:val="00FF3864"/>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3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 w:type="paragraph" w:styleId="ListParagraph">
    <w:name w:val="List Paragraph"/>
    <w:basedOn w:val="Normal"/>
    <w:uiPriority w:val="34"/>
    <w:qFormat/>
    <w:rsid w:val="00692093"/>
    <w:pPr>
      <w:suppressAutoHyphens w:val="0"/>
      <w:autoSpaceDN/>
      <w:ind w:left="720"/>
      <w:contextualSpacing/>
      <w:textAlignment w:val="auto"/>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2A8A-E362-40A1-AC4D-BEDA6ED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49</cp:revision>
  <cp:lastPrinted>2019-12-17T11:24:00Z</cp:lastPrinted>
  <dcterms:created xsi:type="dcterms:W3CDTF">2020-12-21T11:38:00Z</dcterms:created>
  <dcterms:modified xsi:type="dcterms:W3CDTF">2021-10-14T13:10:00Z</dcterms:modified>
</cp:coreProperties>
</file>