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BD59A" w14:textId="217DB126" w:rsidR="00297477" w:rsidRDefault="00297477" w:rsidP="00297477">
      <w:pPr>
        <w:rPr>
          <w:rFonts w:ascii="Verdana" w:hAnsi="Verdana"/>
          <w:b/>
        </w:rPr>
      </w:pPr>
    </w:p>
    <w:p w14:paraId="3CBEB785" w14:textId="30520C3A" w:rsidR="0080510E" w:rsidRPr="00144E96" w:rsidRDefault="0080510E" w:rsidP="00297477">
      <w:pPr>
        <w:jc w:val="center"/>
        <w:rPr>
          <w:rFonts w:ascii="Verdana" w:hAnsi="Verdana"/>
        </w:rPr>
      </w:pPr>
      <w:r w:rsidRPr="00144E96">
        <w:rPr>
          <w:rFonts w:ascii="Verdana" w:hAnsi="Verdana"/>
          <w:b/>
        </w:rPr>
        <w:t xml:space="preserve">Corporation of Sir George </w:t>
      </w:r>
      <w:proofErr w:type="spellStart"/>
      <w:r w:rsidRPr="00144E96">
        <w:rPr>
          <w:rFonts w:ascii="Verdana" w:hAnsi="Verdana"/>
          <w:b/>
        </w:rPr>
        <w:t>Monoux</w:t>
      </w:r>
      <w:proofErr w:type="spellEnd"/>
      <w:r w:rsidRPr="00144E96">
        <w:rPr>
          <w:rFonts w:ascii="Verdana" w:hAnsi="Verdana"/>
          <w:b/>
        </w:rPr>
        <w:t xml:space="preserve"> College</w:t>
      </w:r>
    </w:p>
    <w:p w14:paraId="3CBEB786" w14:textId="77777777" w:rsidR="0080510E" w:rsidRDefault="0080510E" w:rsidP="00AF2767">
      <w:pPr>
        <w:jc w:val="center"/>
        <w:rPr>
          <w:rFonts w:ascii="Verdana" w:hAnsi="Verdana"/>
          <w:b/>
        </w:rPr>
      </w:pPr>
    </w:p>
    <w:p w14:paraId="3CBEB787" w14:textId="77777777" w:rsidR="0080510E" w:rsidRDefault="0080510E" w:rsidP="0080510E">
      <w:pPr>
        <w:jc w:val="center"/>
        <w:rPr>
          <w:rFonts w:ascii="Verdana" w:hAnsi="Verdana"/>
          <w:b/>
        </w:rPr>
      </w:pPr>
      <w:r w:rsidRPr="003475F7">
        <w:rPr>
          <w:rFonts w:ascii="Verdana" w:hAnsi="Verdana"/>
          <w:b/>
        </w:rPr>
        <w:t xml:space="preserve">Minutes of the Meeting of the </w:t>
      </w:r>
      <w:r>
        <w:rPr>
          <w:rFonts w:ascii="Verdana" w:hAnsi="Verdana"/>
          <w:b/>
        </w:rPr>
        <w:t>Quality</w:t>
      </w:r>
      <w:r w:rsidRPr="003475F7">
        <w:rPr>
          <w:rFonts w:ascii="Verdana" w:hAnsi="Verdana"/>
          <w:b/>
        </w:rPr>
        <w:t xml:space="preserve"> &amp; </w:t>
      </w:r>
      <w:r>
        <w:rPr>
          <w:rFonts w:ascii="Verdana" w:hAnsi="Verdana"/>
          <w:b/>
        </w:rPr>
        <w:t>Perform</w:t>
      </w:r>
      <w:r w:rsidRPr="003475F7">
        <w:rPr>
          <w:rFonts w:ascii="Verdana" w:hAnsi="Verdana"/>
          <w:b/>
        </w:rPr>
        <w:t>ance</w:t>
      </w:r>
      <w:r>
        <w:rPr>
          <w:rFonts w:ascii="Verdana" w:hAnsi="Verdana"/>
          <w:b/>
        </w:rPr>
        <w:t xml:space="preserve"> </w:t>
      </w:r>
      <w:r w:rsidRPr="003475F7">
        <w:rPr>
          <w:rFonts w:ascii="Verdana" w:hAnsi="Verdana"/>
          <w:b/>
        </w:rPr>
        <w:t xml:space="preserve">Committee </w:t>
      </w:r>
    </w:p>
    <w:p w14:paraId="3CBEB788" w14:textId="2B1A84A1" w:rsidR="0080510E" w:rsidRDefault="0080510E" w:rsidP="0080510E">
      <w:pPr>
        <w:jc w:val="center"/>
        <w:rPr>
          <w:rFonts w:ascii="Verdana" w:hAnsi="Verdana"/>
          <w:b/>
        </w:rPr>
      </w:pPr>
      <w:r w:rsidRPr="003475F7">
        <w:rPr>
          <w:rFonts w:ascii="Verdana" w:hAnsi="Verdana"/>
          <w:b/>
        </w:rPr>
        <w:t xml:space="preserve">held on </w:t>
      </w:r>
      <w:r w:rsidR="00E11261">
        <w:rPr>
          <w:rFonts w:ascii="Verdana" w:hAnsi="Verdana"/>
          <w:b/>
        </w:rPr>
        <w:t>1</w:t>
      </w:r>
      <w:r w:rsidR="00907324">
        <w:rPr>
          <w:rFonts w:ascii="Verdana" w:hAnsi="Verdana"/>
          <w:b/>
        </w:rPr>
        <w:t xml:space="preserve"> December </w:t>
      </w:r>
      <w:r w:rsidR="00E11261">
        <w:rPr>
          <w:rFonts w:ascii="Verdana" w:hAnsi="Verdana"/>
          <w:b/>
        </w:rPr>
        <w:t>2020</w:t>
      </w:r>
    </w:p>
    <w:p w14:paraId="3CBEB789" w14:textId="77777777" w:rsidR="0080510E" w:rsidRDefault="0080510E" w:rsidP="0080510E">
      <w:pPr>
        <w:jc w:val="center"/>
        <w:rPr>
          <w:rFonts w:ascii="Verdana" w:hAnsi="Verdana"/>
          <w:b/>
        </w:rPr>
      </w:pPr>
    </w:p>
    <w:tbl>
      <w:tblPr>
        <w:tblW w:w="9634" w:type="dxa"/>
        <w:tblLook w:val="04A0" w:firstRow="1" w:lastRow="0" w:firstColumn="1" w:lastColumn="0" w:noHBand="0" w:noVBand="1"/>
      </w:tblPr>
      <w:tblGrid>
        <w:gridCol w:w="2376"/>
        <w:gridCol w:w="7258"/>
      </w:tblGrid>
      <w:tr w:rsidR="009F7BA2" w:rsidRPr="003D3002" w14:paraId="3CBEB78E" w14:textId="77777777" w:rsidTr="005D0A52">
        <w:tc>
          <w:tcPr>
            <w:tcW w:w="2376" w:type="dxa"/>
          </w:tcPr>
          <w:p w14:paraId="6857F8C9" w14:textId="77777777" w:rsidR="009F7BA2" w:rsidRPr="003D3002" w:rsidRDefault="009F7BA2" w:rsidP="009F7BA2">
            <w:pPr>
              <w:rPr>
                <w:rFonts w:ascii="Verdana" w:hAnsi="Verdana"/>
                <w:b/>
              </w:rPr>
            </w:pPr>
            <w:r w:rsidRPr="003D3002">
              <w:rPr>
                <w:rFonts w:ascii="Verdana" w:hAnsi="Verdana"/>
                <w:b/>
              </w:rPr>
              <w:t>Present</w:t>
            </w:r>
          </w:p>
          <w:p w14:paraId="48FEDB1C" w14:textId="77777777" w:rsidR="009F7BA2" w:rsidRPr="003D3002" w:rsidRDefault="009F7BA2" w:rsidP="009F7BA2">
            <w:pPr>
              <w:rPr>
                <w:rFonts w:ascii="Verdana" w:hAnsi="Verdana"/>
                <w:b/>
              </w:rPr>
            </w:pPr>
          </w:p>
        </w:tc>
        <w:tc>
          <w:tcPr>
            <w:tcW w:w="7258" w:type="dxa"/>
          </w:tcPr>
          <w:p w14:paraId="11F033EE" w14:textId="4BD1915F" w:rsidR="009F7BA2" w:rsidRDefault="009F7BA2" w:rsidP="009F7BA2">
            <w:pPr>
              <w:rPr>
                <w:rFonts w:ascii="Verdana" w:hAnsi="Verdana"/>
              </w:rPr>
            </w:pPr>
            <w:r>
              <w:rPr>
                <w:rFonts w:ascii="Verdana" w:hAnsi="Verdana"/>
              </w:rPr>
              <w:t xml:space="preserve">Alastair Owens (Chair), Stephen Jones, </w:t>
            </w:r>
            <w:r w:rsidR="005D4B0C">
              <w:rPr>
                <w:rFonts w:ascii="Verdana" w:hAnsi="Verdana"/>
              </w:rPr>
              <w:t>Jagdev Kenth</w:t>
            </w:r>
            <w:r>
              <w:rPr>
                <w:rFonts w:ascii="Verdana" w:hAnsi="Verdana"/>
              </w:rPr>
              <w:t xml:space="preserve">, David </w:t>
            </w:r>
            <w:proofErr w:type="spellStart"/>
            <w:r>
              <w:rPr>
                <w:rFonts w:ascii="Verdana" w:hAnsi="Verdana"/>
              </w:rPr>
              <w:t>Vasse</w:t>
            </w:r>
            <w:proofErr w:type="spellEnd"/>
            <w:r>
              <w:rPr>
                <w:rFonts w:ascii="Verdana" w:hAnsi="Verdana"/>
              </w:rPr>
              <w:t>.</w:t>
            </w:r>
          </w:p>
          <w:p w14:paraId="7428A366" w14:textId="77777777" w:rsidR="009F7BA2" w:rsidRPr="003D3002" w:rsidRDefault="009F7BA2" w:rsidP="009F7BA2">
            <w:pPr>
              <w:rPr>
                <w:rFonts w:ascii="Verdana" w:hAnsi="Verdana"/>
                <w:b/>
              </w:rPr>
            </w:pPr>
          </w:p>
        </w:tc>
      </w:tr>
      <w:tr w:rsidR="009F7BA2" w:rsidRPr="003D3002" w14:paraId="3CBEB792" w14:textId="77777777" w:rsidTr="005D0A52">
        <w:tc>
          <w:tcPr>
            <w:tcW w:w="2376" w:type="dxa"/>
          </w:tcPr>
          <w:p w14:paraId="4704DD12" w14:textId="77777777" w:rsidR="009F7BA2" w:rsidRDefault="009F7BA2" w:rsidP="009F7BA2">
            <w:pPr>
              <w:rPr>
                <w:rFonts w:ascii="Verdana" w:hAnsi="Verdana"/>
                <w:b/>
              </w:rPr>
            </w:pPr>
            <w:r>
              <w:rPr>
                <w:rFonts w:ascii="Verdana" w:hAnsi="Verdana"/>
                <w:b/>
              </w:rPr>
              <w:t>In Attendance</w:t>
            </w:r>
          </w:p>
          <w:p w14:paraId="38A41E68" w14:textId="77777777" w:rsidR="009F7BA2" w:rsidRPr="003D3002" w:rsidRDefault="009F7BA2" w:rsidP="009F7BA2">
            <w:pPr>
              <w:rPr>
                <w:rFonts w:ascii="Verdana" w:hAnsi="Verdana"/>
                <w:b/>
              </w:rPr>
            </w:pPr>
          </w:p>
        </w:tc>
        <w:tc>
          <w:tcPr>
            <w:tcW w:w="7258" w:type="dxa"/>
          </w:tcPr>
          <w:p w14:paraId="0B2F5074" w14:textId="1F770C8D" w:rsidR="009F7BA2" w:rsidRPr="00E11261" w:rsidRDefault="00E11261" w:rsidP="009F7BA2">
            <w:pPr>
              <w:rPr>
                <w:rFonts w:ascii="Verdana" w:hAnsi="Verdana"/>
                <w:b/>
              </w:rPr>
            </w:pPr>
            <w:r w:rsidRPr="00E11261">
              <w:rPr>
                <w:rFonts w:ascii="Verdana" w:hAnsi="Verdana"/>
              </w:rPr>
              <w:t xml:space="preserve">Holly Bembridge (Vice-Principal: Curriculum), </w:t>
            </w:r>
            <w:proofErr w:type="spellStart"/>
            <w:r w:rsidRPr="00E11261">
              <w:rPr>
                <w:rFonts w:ascii="Verdana" w:hAnsi="Verdana"/>
              </w:rPr>
              <w:t>Nehendra</w:t>
            </w:r>
            <w:proofErr w:type="spellEnd"/>
            <w:r w:rsidRPr="00E11261">
              <w:rPr>
                <w:rFonts w:ascii="Verdana" w:hAnsi="Verdana"/>
              </w:rPr>
              <w:t xml:space="preserve"> Jonas </w:t>
            </w:r>
            <w:r w:rsidR="000C294A" w:rsidRPr="00E11261">
              <w:rPr>
                <w:rFonts w:ascii="Verdana" w:hAnsi="Verdana"/>
              </w:rPr>
              <w:t xml:space="preserve">(Student Member of the Corporation Designate), </w:t>
            </w:r>
            <w:r w:rsidRPr="00E11261">
              <w:rPr>
                <w:rFonts w:ascii="Verdana" w:hAnsi="Verdana"/>
              </w:rPr>
              <w:t xml:space="preserve">Anisa Khadija </w:t>
            </w:r>
            <w:r w:rsidR="000C294A" w:rsidRPr="00E11261">
              <w:rPr>
                <w:rFonts w:ascii="Verdana" w:hAnsi="Verdana"/>
              </w:rPr>
              <w:t xml:space="preserve">(Student Member of the Corporation Designate), </w:t>
            </w:r>
            <w:r w:rsidR="009F7BA2" w:rsidRPr="00E11261">
              <w:rPr>
                <w:rFonts w:ascii="Verdana" w:hAnsi="Verdana"/>
              </w:rPr>
              <w:t>Robert Smith (Clerk to the Corporation).</w:t>
            </w:r>
            <w:r>
              <w:rPr>
                <w:rFonts w:ascii="Verdana" w:hAnsi="Verdana"/>
              </w:rPr>
              <w:t xml:space="preserve"> </w:t>
            </w:r>
          </w:p>
        </w:tc>
      </w:tr>
    </w:tbl>
    <w:p w14:paraId="3CBEB796" w14:textId="77777777" w:rsidR="0080510E" w:rsidRDefault="0080510E" w:rsidP="0080510E">
      <w:pPr>
        <w:rPr>
          <w:rFonts w:ascii="Verdana" w:hAnsi="Verdana"/>
          <w:b/>
        </w:rPr>
      </w:pPr>
    </w:p>
    <w:tbl>
      <w:tblPr>
        <w:tblW w:w="9747" w:type="dxa"/>
        <w:tblLook w:val="04A0" w:firstRow="1" w:lastRow="0" w:firstColumn="1" w:lastColumn="0" w:noHBand="0" w:noVBand="1"/>
      </w:tblPr>
      <w:tblGrid>
        <w:gridCol w:w="534"/>
        <w:gridCol w:w="9213"/>
      </w:tblGrid>
      <w:tr w:rsidR="0080510E" w:rsidRPr="003D3002" w14:paraId="3CBEB7A0" w14:textId="77777777" w:rsidTr="005D0A52">
        <w:tc>
          <w:tcPr>
            <w:tcW w:w="534" w:type="dxa"/>
          </w:tcPr>
          <w:p w14:paraId="3CBEB797" w14:textId="77777777" w:rsidR="0080510E" w:rsidRPr="003D3002" w:rsidRDefault="0080510E" w:rsidP="002C3254">
            <w:pPr>
              <w:rPr>
                <w:rFonts w:ascii="Verdana" w:hAnsi="Verdana"/>
                <w:b/>
              </w:rPr>
            </w:pPr>
            <w:r w:rsidRPr="003D3002">
              <w:rPr>
                <w:rFonts w:ascii="Verdana" w:hAnsi="Verdana"/>
                <w:b/>
              </w:rPr>
              <w:t>1</w:t>
            </w:r>
          </w:p>
        </w:tc>
        <w:tc>
          <w:tcPr>
            <w:tcW w:w="9213" w:type="dxa"/>
          </w:tcPr>
          <w:p w14:paraId="3CBEB798" w14:textId="247213C2" w:rsidR="0080510E" w:rsidRPr="003D3002" w:rsidRDefault="0080510E" w:rsidP="002C3254">
            <w:pPr>
              <w:rPr>
                <w:rFonts w:ascii="Verdana" w:hAnsi="Verdana"/>
                <w:b/>
              </w:rPr>
            </w:pPr>
            <w:r w:rsidRPr="003D3002">
              <w:rPr>
                <w:rFonts w:ascii="Verdana" w:hAnsi="Verdana"/>
                <w:b/>
              </w:rPr>
              <w:t>Apologies for Absence</w:t>
            </w:r>
            <w:r>
              <w:rPr>
                <w:rFonts w:ascii="Verdana" w:hAnsi="Verdana"/>
                <w:b/>
              </w:rPr>
              <w:t xml:space="preserve"> and Quoracy</w:t>
            </w:r>
            <w:r w:rsidR="009939CF">
              <w:rPr>
                <w:rFonts w:ascii="Verdana" w:hAnsi="Verdana"/>
                <w:b/>
              </w:rPr>
              <w:t xml:space="preserve"> </w:t>
            </w:r>
          </w:p>
          <w:p w14:paraId="3CBEB799" w14:textId="0C20252E" w:rsidR="0080510E" w:rsidRDefault="00165BD4" w:rsidP="002C3254">
            <w:pPr>
              <w:rPr>
                <w:rFonts w:ascii="Verdana" w:hAnsi="Verdana"/>
              </w:rPr>
            </w:pPr>
            <w:r>
              <w:rPr>
                <w:rFonts w:ascii="Verdana" w:hAnsi="Verdana"/>
              </w:rPr>
              <w:t xml:space="preserve">  </w:t>
            </w:r>
          </w:p>
          <w:p w14:paraId="1A6A3CF1" w14:textId="41E37161" w:rsidR="005D4B0C" w:rsidRDefault="007F1EF3" w:rsidP="002C3254">
            <w:pPr>
              <w:rPr>
                <w:rFonts w:ascii="Verdana" w:hAnsi="Verdana"/>
              </w:rPr>
            </w:pPr>
            <w:r>
              <w:rPr>
                <w:rFonts w:ascii="Verdana" w:hAnsi="Verdana"/>
              </w:rPr>
              <w:t>The student members of the Corporation designate were welcomed on the occasion of their first attendance at a meeting of the Committee.  It was noted that they will be formally appointed to office at the Corporation meeting being held on 15 December 2020</w:t>
            </w:r>
            <w:r w:rsidR="00945146">
              <w:rPr>
                <w:rFonts w:ascii="Verdana" w:hAnsi="Verdana"/>
              </w:rPr>
              <w:t>, and be appointed thereafter to membership of the present Committee.</w:t>
            </w:r>
          </w:p>
          <w:p w14:paraId="4D817DF0" w14:textId="7BC94902" w:rsidR="00945146" w:rsidRDefault="00945146" w:rsidP="002C3254">
            <w:pPr>
              <w:rPr>
                <w:rFonts w:ascii="Verdana" w:hAnsi="Verdana"/>
              </w:rPr>
            </w:pPr>
          </w:p>
          <w:p w14:paraId="14309807" w14:textId="77777777" w:rsidR="00945146" w:rsidRDefault="00945146" w:rsidP="00945146">
            <w:pPr>
              <w:rPr>
                <w:rFonts w:ascii="Verdana" w:hAnsi="Verdana"/>
              </w:rPr>
            </w:pPr>
            <w:r>
              <w:rPr>
                <w:rFonts w:ascii="Verdana" w:hAnsi="Verdana"/>
              </w:rPr>
              <w:t>The meeting was quorate.</w:t>
            </w:r>
          </w:p>
          <w:p w14:paraId="3CBEB79F" w14:textId="70C6C2EB" w:rsidR="00945146" w:rsidRPr="003D3002" w:rsidRDefault="00945146" w:rsidP="00945146">
            <w:pPr>
              <w:rPr>
                <w:rFonts w:ascii="Verdana" w:hAnsi="Verdana"/>
              </w:rPr>
            </w:pPr>
          </w:p>
        </w:tc>
      </w:tr>
      <w:tr w:rsidR="0080510E" w:rsidRPr="003D3002" w14:paraId="3CBEB7A6" w14:textId="77777777" w:rsidTr="005D0A52">
        <w:tc>
          <w:tcPr>
            <w:tcW w:w="534" w:type="dxa"/>
          </w:tcPr>
          <w:p w14:paraId="3CBEB7A1" w14:textId="7F892BF4" w:rsidR="0080510E" w:rsidRPr="003D3002" w:rsidRDefault="0080510E" w:rsidP="002C3254">
            <w:pPr>
              <w:rPr>
                <w:rFonts w:ascii="Verdana" w:hAnsi="Verdana"/>
                <w:b/>
              </w:rPr>
            </w:pPr>
            <w:r w:rsidRPr="003D3002">
              <w:rPr>
                <w:rFonts w:ascii="Verdana" w:hAnsi="Verdana"/>
                <w:b/>
              </w:rPr>
              <w:t>2</w:t>
            </w:r>
          </w:p>
        </w:tc>
        <w:tc>
          <w:tcPr>
            <w:tcW w:w="9213" w:type="dxa"/>
          </w:tcPr>
          <w:p w14:paraId="3CBEB7A2" w14:textId="77777777" w:rsidR="0080510E" w:rsidRPr="003D3002" w:rsidRDefault="0080510E" w:rsidP="002C3254">
            <w:pPr>
              <w:rPr>
                <w:rFonts w:ascii="Verdana" w:hAnsi="Verdana"/>
                <w:b/>
              </w:rPr>
            </w:pPr>
            <w:r w:rsidRPr="003D3002">
              <w:rPr>
                <w:rFonts w:ascii="Verdana" w:hAnsi="Verdana"/>
                <w:b/>
              </w:rPr>
              <w:t>Declarations of Interest</w:t>
            </w:r>
          </w:p>
          <w:p w14:paraId="3CBEB7A3" w14:textId="77777777" w:rsidR="0080510E" w:rsidRPr="003D3002" w:rsidRDefault="0080510E" w:rsidP="002C3254">
            <w:pPr>
              <w:rPr>
                <w:rFonts w:ascii="Verdana" w:hAnsi="Verdana"/>
              </w:rPr>
            </w:pPr>
          </w:p>
          <w:p w14:paraId="3CBEB7A4" w14:textId="22BA9FB9" w:rsidR="0080510E" w:rsidRDefault="0080510E" w:rsidP="002C3254">
            <w:pPr>
              <w:rPr>
                <w:rFonts w:ascii="Verdana" w:hAnsi="Verdana"/>
              </w:rPr>
            </w:pPr>
            <w:r>
              <w:rPr>
                <w:rFonts w:ascii="Verdana" w:hAnsi="Verdana"/>
              </w:rPr>
              <w:t>None.</w:t>
            </w:r>
            <w:r w:rsidR="009E0B7E">
              <w:rPr>
                <w:rFonts w:ascii="Verdana" w:hAnsi="Verdana"/>
              </w:rPr>
              <w:t xml:space="preserve"> </w:t>
            </w:r>
          </w:p>
          <w:p w14:paraId="3CBEB7A5" w14:textId="77777777" w:rsidR="0080510E" w:rsidRPr="003D3002" w:rsidRDefault="0080510E" w:rsidP="002C3254">
            <w:pPr>
              <w:rPr>
                <w:rFonts w:ascii="Verdana" w:hAnsi="Verdana"/>
              </w:rPr>
            </w:pPr>
          </w:p>
        </w:tc>
      </w:tr>
      <w:tr w:rsidR="0080510E" w:rsidRPr="003D3002" w14:paraId="3CBEB7AC" w14:textId="77777777" w:rsidTr="005D0A52">
        <w:tc>
          <w:tcPr>
            <w:tcW w:w="534" w:type="dxa"/>
          </w:tcPr>
          <w:p w14:paraId="3CBEB7A7" w14:textId="77777777" w:rsidR="0080510E" w:rsidRPr="003D3002" w:rsidRDefault="0080510E" w:rsidP="002C3254">
            <w:pPr>
              <w:rPr>
                <w:rFonts w:ascii="Verdana" w:hAnsi="Verdana"/>
                <w:b/>
              </w:rPr>
            </w:pPr>
            <w:r>
              <w:rPr>
                <w:rFonts w:ascii="Verdana" w:hAnsi="Verdana"/>
                <w:b/>
              </w:rPr>
              <w:t>3</w:t>
            </w:r>
          </w:p>
        </w:tc>
        <w:tc>
          <w:tcPr>
            <w:tcW w:w="9213" w:type="dxa"/>
          </w:tcPr>
          <w:p w14:paraId="3CBEB7A8" w14:textId="6815865B" w:rsidR="0080510E" w:rsidRPr="00F97EF9" w:rsidRDefault="0080510E" w:rsidP="002C3254">
            <w:pPr>
              <w:rPr>
                <w:rFonts w:ascii="Verdana" w:hAnsi="Verdana"/>
                <w:b/>
              </w:rPr>
            </w:pPr>
            <w:r w:rsidRPr="00F97EF9">
              <w:rPr>
                <w:rFonts w:ascii="Verdana" w:hAnsi="Verdana"/>
                <w:b/>
              </w:rPr>
              <w:t>Minutes of the Previous Meeting</w:t>
            </w:r>
            <w:r w:rsidR="00C911A3">
              <w:rPr>
                <w:rFonts w:ascii="Verdana" w:hAnsi="Verdana"/>
                <w:b/>
              </w:rPr>
              <w:t xml:space="preserve"> </w:t>
            </w:r>
            <w:r w:rsidRPr="00F97EF9">
              <w:rPr>
                <w:rFonts w:ascii="Verdana" w:hAnsi="Verdana"/>
                <w:b/>
              </w:rPr>
              <w:t>(</w:t>
            </w:r>
            <w:r w:rsidR="00CE71D3">
              <w:rPr>
                <w:rFonts w:ascii="Verdana" w:hAnsi="Verdana"/>
                <w:b/>
              </w:rPr>
              <w:t>2</w:t>
            </w:r>
            <w:r w:rsidR="004C0D44">
              <w:rPr>
                <w:rFonts w:ascii="Verdana" w:hAnsi="Verdana"/>
                <w:b/>
              </w:rPr>
              <w:t>2</w:t>
            </w:r>
            <w:r w:rsidR="00CE71D3">
              <w:rPr>
                <w:rFonts w:ascii="Verdana" w:hAnsi="Verdana"/>
                <w:b/>
              </w:rPr>
              <w:t xml:space="preserve"> September</w:t>
            </w:r>
            <w:r w:rsidR="00355589">
              <w:rPr>
                <w:rFonts w:ascii="Verdana" w:hAnsi="Verdana"/>
                <w:b/>
              </w:rPr>
              <w:t xml:space="preserve"> 20</w:t>
            </w:r>
            <w:r w:rsidR="004C0D44">
              <w:rPr>
                <w:rFonts w:ascii="Verdana" w:hAnsi="Verdana"/>
                <w:b/>
              </w:rPr>
              <w:t>20</w:t>
            </w:r>
            <w:r w:rsidRPr="00F97EF9">
              <w:rPr>
                <w:rFonts w:ascii="Verdana" w:hAnsi="Verdana"/>
                <w:b/>
              </w:rPr>
              <w:t>)</w:t>
            </w:r>
          </w:p>
          <w:p w14:paraId="3CBEB7A9" w14:textId="77777777" w:rsidR="0080510E" w:rsidRPr="003D3002" w:rsidRDefault="0080510E" w:rsidP="002C3254">
            <w:pPr>
              <w:rPr>
                <w:rFonts w:ascii="Verdana" w:hAnsi="Verdana"/>
                <w:b/>
              </w:rPr>
            </w:pPr>
          </w:p>
          <w:p w14:paraId="4C431B21" w14:textId="22AB794C" w:rsidR="000E6449" w:rsidRPr="00CA1B35" w:rsidRDefault="000E6449" w:rsidP="000E6449">
            <w:pPr>
              <w:rPr>
                <w:rFonts w:ascii="Verdana" w:hAnsi="Verdana"/>
              </w:rPr>
            </w:pPr>
            <w:r>
              <w:rPr>
                <w:rFonts w:ascii="Verdana" w:hAnsi="Verdana"/>
              </w:rPr>
              <w:t>It was</w:t>
            </w:r>
            <w:r w:rsidRPr="00CA1B35">
              <w:rPr>
                <w:rFonts w:ascii="Verdana" w:hAnsi="Verdana"/>
              </w:rPr>
              <w:t xml:space="preserve"> note</w:t>
            </w:r>
            <w:r>
              <w:rPr>
                <w:rFonts w:ascii="Verdana" w:hAnsi="Verdana"/>
              </w:rPr>
              <w:t xml:space="preserve">d that the draft minutes had </w:t>
            </w:r>
            <w:r w:rsidR="003C67B9">
              <w:rPr>
                <w:rFonts w:ascii="Verdana" w:hAnsi="Verdana"/>
              </w:rPr>
              <w:t>been approved</w:t>
            </w:r>
            <w:r w:rsidRPr="00CA1B35">
              <w:rPr>
                <w:rFonts w:ascii="Verdana" w:hAnsi="Verdana"/>
              </w:rPr>
              <w:t xml:space="preserve"> by the Chair of the Co</w:t>
            </w:r>
            <w:r>
              <w:rPr>
                <w:rFonts w:ascii="Verdana" w:hAnsi="Verdana"/>
              </w:rPr>
              <w:t>mmittee</w:t>
            </w:r>
            <w:r w:rsidRPr="00CA1B35">
              <w:rPr>
                <w:rFonts w:ascii="Verdana" w:hAnsi="Verdana"/>
              </w:rPr>
              <w:t xml:space="preserve"> for circulation.</w:t>
            </w:r>
          </w:p>
          <w:p w14:paraId="263B29FA" w14:textId="77777777" w:rsidR="000E6449" w:rsidRDefault="000E6449" w:rsidP="000B2F77">
            <w:pPr>
              <w:rPr>
                <w:rFonts w:ascii="Verdana" w:hAnsi="Verdana"/>
              </w:rPr>
            </w:pPr>
          </w:p>
          <w:p w14:paraId="3DCEAE94" w14:textId="18DC3B68" w:rsidR="000B2F77" w:rsidRDefault="00E70922" w:rsidP="000B2F77">
            <w:pPr>
              <w:rPr>
                <w:rFonts w:ascii="Verdana" w:hAnsi="Verdana"/>
              </w:rPr>
            </w:pPr>
            <w:r>
              <w:rPr>
                <w:rFonts w:ascii="Verdana" w:hAnsi="Verdana"/>
              </w:rPr>
              <w:t>They</w:t>
            </w:r>
            <w:r w:rsidR="000B2F77" w:rsidRPr="003648D1">
              <w:rPr>
                <w:rFonts w:ascii="Verdana" w:hAnsi="Verdana"/>
              </w:rPr>
              <w:t xml:space="preserve"> were approved as a correct record of the business transacted and </w:t>
            </w:r>
            <w:r w:rsidR="000B2F77" w:rsidRPr="00320E87">
              <w:rPr>
                <w:rFonts w:ascii="Verdana" w:hAnsi="Verdana"/>
                <w:i/>
              </w:rPr>
              <w:t>prima facie</w:t>
            </w:r>
            <w:r w:rsidR="000B2F77" w:rsidRPr="003648D1">
              <w:rPr>
                <w:rFonts w:ascii="Verdana" w:hAnsi="Verdana"/>
              </w:rPr>
              <w:t xml:space="preserve"> evidence of the proceedings to which they relate.</w:t>
            </w:r>
          </w:p>
          <w:p w14:paraId="3CBEB7AB" w14:textId="77777777" w:rsidR="0080510E" w:rsidRPr="003D3002" w:rsidRDefault="0080510E" w:rsidP="002C3254">
            <w:pPr>
              <w:rPr>
                <w:rFonts w:ascii="Verdana" w:hAnsi="Verdana"/>
              </w:rPr>
            </w:pPr>
          </w:p>
        </w:tc>
      </w:tr>
      <w:tr w:rsidR="0080510E" w:rsidRPr="003D3002" w14:paraId="3CBEB7BF" w14:textId="77777777" w:rsidTr="005D0A52">
        <w:tc>
          <w:tcPr>
            <w:tcW w:w="534" w:type="dxa"/>
          </w:tcPr>
          <w:p w14:paraId="3CBEB7AD" w14:textId="77777777" w:rsidR="0080510E" w:rsidRPr="003D3002" w:rsidRDefault="0080510E" w:rsidP="002C3254">
            <w:pPr>
              <w:rPr>
                <w:rFonts w:ascii="Verdana" w:hAnsi="Verdana"/>
                <w:b/>
              </w:rPr>
            </w:pPr>
            <w:r>
              <w:rPr>
                <w:rFonts w:ascii="Verdana" w:hAnsi="Verdana"/>
                <w:b/>
              </w:rPr>
              <w:t>4</w:t>
            </w:r>
          </w:p>
        </w:tc>
        <w:tc>
          <w:tcPr>
            <w:tcW w:w="9213" w:type="dxa"/>
          </w:tcPr>
          <w:p w14:paraId="3CBEB7AE" w14:textId="2947E1DB" w:rsidR="0080510E" w:rsidRDefault="0080510E" w:rsidP="002C3254">
            <w:pPr>
              <w:rPr>
                <w:rFonts w:ascii="Verdana" w:hAnsi="Verdana"/>
                <w:b/>
              </w:rPr>
            </w:pPr>
            <w:r>
              <w:rPr>
                <w:rFonts w:ascii="Verdana" w:hAnsi="Verdana"/>
                <w:b/>
              </w:rPr>
              <w:t>Matters Arising from the Minutes</w:t>
            </w:r>
            <w:r w:rsidR="00C911A3">
              <w:rPr>
                <w:rFonts w:ascii="Verdana" w:hAnsi="Verdana"/>
                <w:b/>
              </w:rPr>
              <w:t xml:space="preserve"> (</w:t>
            </w:r>
            <w:r w:rsidR="004C0D44">
              <w:rPr>
                <w:rFonts w:ascii="Verdana" w:hAnsi="Verdana"/>
                <w:b/>
              </w:rPr>
              <w:t>22 September 2020</w:t>
            </w:r>
            <w:r w:rsidR="00C911A3">
              <w:rPr>
                <w:rFonts w:ascii="Verdana" w:hAnsi="Verdana"/>
                <w:b/>
              </w:rPr>
              <w:t>)</w:t>
            </w:r>
          </w:p>
          <w:p w14:paraId="3CBEB7AF" w14:textId="77777777" w:rsidR="0080510E" w:rsidRDefault="0080510E" w:rsidP="002C3254">
            <w:pPr>
              <w:rPr>
                <w:rFonts w:ascii="Verdana" w:hAnsi="Verdana"/>
                <w:b/>
              </w:rPr>
            </w:pPr>
          </w:p>
          <w:p w14:paraId="617541E4" w14:textId="488EAF5B" w:rsidR="00ED70BF" w:rsidRDefault="004C0D44" w:rsidP="0083168D">
            <w:pPr>
              <w:rPr>
                <w:rFonts w:ascii="Verdana" w:hAnsi="Verdana"/>
              </w:rPr>
            </w:pPr>
            <w:r w:rsidRPr="004C0D44">
              <w:rPr>
                <w:rFonts w:ascii="Verdana" w:hAnsi="Verdana"/>
                <w:i/>
                <w:iCs/>
              </w:rPr>
              <w:t>Minute 5:</w:t>
            </w:r>
            <w:r>
              <w:rPr>
                <w:rFonts w:ascii="Verdana" w:hAnsi="Verdana"/>
              </w:rPr>
              <w:t xml:space="preserve"> updates on the College’s risk assessments attending the public health emergency had been </w:t>
            </w:r>
            <w:r w:rsidR="00546181">
              <w:rPr>
                <w:rFonts w:ascii="Verdana" w:hAnsi="Verdana"/>
              </w:rPr>
              <w:t>made available to members</w:t>
            </w:r>
            <w:r>
              <w:rPr>
                <w:rFonts w:ascii="Verdana" w:hAnsi="Verdana"/>
              </w:rPr>
              <w:t xml:space="preserve"> as appropriate</w:t>
            </w:r>
            <w:r w:rsidR="0070615E">
              <w:rPr>
                <w:rFonts w:ascii="Verdana" w:hAnsi="Verdana"/>
              </w:rPr>
              <w:t xml:space="preserve">, and had been discussed at </w:t>
            </w:r>
            <w:r w:rsidR="00164633">
              <w:rPr>
                <w:rFonts w:ascii="Verdana" w:hAnsi="Verdana"/>
              </w:rPr>
              <w:t>the Corporation meeting held in October 2020 and in committee meetings held during the term</w:t>
            </w:r>
            <w:r>
              <w:rPr>
                <w:rFonts w:ascii="Verdana" w:hAnsi="Verdana"/>
              </w:rPr>
              <w:t>.</w:t>
            </w:r>
          </w:p>
          <w:p w14:paraId="2C6E7615" w14:textId="24B4E0B1" w:rsidR="004C0D44" w:rsidRDefault="004C0D44" w:rsidP="0083168D">
            <w:pPr>
              <w:rPr>
                <w:rFonts w:ascii="Verdana" w:hAnsi="Verdana"/>
              </w:rPr>
            </w:pPr>
          </w:p>
          <w:p w14:paraId="4A1CB0B4" w14:textId="78676873" w:rsidR="004C0D44" w:rsidRDefault="004C0D44" w:rsidP="0083168D">
            <w:pPr>
              <w:rPr>
                <w:rFonts w:ascii="Verdana" w:hAnsi="Verdana"/>
              </w:rPr>
            </w:pPr>
            <w:r>
              <w:rPr>
                <w:rFonts w:ascii="Verdana" w:hAnsi="Verdana"/>
              </w:rPr>
              <w:t>There were no other matters arising except as provided for within the meeting agenda.</w:t>
            </w:r>
            <w:r w:rsidR="00A43309">
              <w:rPr>
                <w:rFonts w:ascii="Verdana" w:hAnsi="Verdana"/>
              </w:rPr>
              <w:t xml:space="preserve"> </w:t>
            </w:r>
            <w:r w:rsidR="00250896">
              <w:rPr>
                <w:rFonts w:ascii="Verdana" w:hAnsi="Verdana"/>
              </w:rPr>
              <w:t xml:space="preserve">  </w:t>
            </w:r>
          </w:p>
          <w:p w14:paraId="3CBEB7BE" w14:textId="53C40B84" w:rsidR="00E5723C" w:rsidRPr="00B17588" w:rsidRDefault="00E5723C" w:rsidP="0083168D">
            <w:pPr>
              <w:rPr>
                <w:rFonts w:ascii="Verdana" w:hAnsi="Verdana"/>
              </w:rPr>
            </w:pPr>
          </w:p>
        </w:tc>
      </w:tr>
      <w:tr w:rsidR="00E5723C" w:rsidRPr="003D3002" w14:paraId="258DCD39" w14:textId="77777777" w:rsidTr="005D0A52">
        <w:tc>
          <w:tcPr>
            <w:tcW w:w="534" w:type="dxa"/>
          </w:tcPr>
          <w:p w14:paraId="081699A2" w14:textId="4C06C605" w:rsidR="00E5723C" w:rsidRDefault="00E5723C" w:rsidP="002C3254">
            <w:pPr>
              <w:rPr>
                <w:rFonts w:ascii="Verdana" w:hAnsi="Verdana"/>
                <w:b/>
              </w:rPr>
            </w:pPr>
            <w:r>
              <w:rPr>
                <w:rFonts w:ascii="Verdana" w:hAnsi="Verdana"/>
                <w:b/>
              </w:rPr>
              <w:t>5</w:t>
            </w:r>
          </w:p>
        </w:tc>
        <w:tc>
          <w:tcPr>
            <w:tcW w:w="9213" w:type="dxa"/>
          </w:tcPr>
          <w:p w14:paraId="1E23CEFE" w14:textId="77777777" w:rsidR="00E5723C" w:rsidRDefault="00E5723C" w:rsidP="00E5723C">
            <w:pPr>
              <w:rPr>
                <w:rFonts w:ascii="Verdana" w:hAnsi="Verdana"/>
                <w:b/>
              </w:rPr>
            </w:pPr>
            <w:r>
              <w:rPr>
                <w:rFonts w:ascii="Verdana" w:hAnsi="Verdana"/>
                <w:b/>
              </w:rPr>
              <w:t>Board Level Risks</w:t>
            </w:r>
          </w:p>
          <w:p w14:paraId="55A47409" w14:textId="77777777" w:rsidR="00E5723C" w:rsidRDefault="00E5723C" w:rsidP="002C3254">
            <w:pPr>
              <w:rPr>
                <w:rFonts w:ascii="Verdana" w:hAnsi="Verdana"/>
                <w:b/>
              </w:rPr>
            </w:pPr>
          </w:p>
          <w:p w14:paraId="075B9CC2" w14:textId="17014925" w:rsidR="00E5723C" w:rsidRDefault="008A1688" w:rsidP="002C3254">
            <w:pPr>
              <w:rPr>
                <w:rFonts w:ascii="Verdana" w:hAnsi="Verdana"/>
              </w:rPr>
            </w:pPr>
            <w:r w:rsidRPr="008A1688">
              <w:rPr>
                <w:rFonts w:ascii="Verdana" w:hAnsi="Verdana"/>
              </w:rPr>
              <w:t>I</w:t>
            </w:r>
            <w:r w:rsidR="00FC064B" w:rsidRPr="008A1688">
              <w:rPr>
                <w:rFonts w:ascii="Verdana" w:hAnsi="Verdana"/>
              </w:rPr>
              <w:t>t was noted that board level risks pertaining to the Committee’s remit</w:t>
            </w:r>
            <w:r w:rsidRPr="008A1688">
              <w:rPr>
                <w:rFonts w:ascii="Verdana" w:hAnsi="Verdana"/>
              </w:rPr>
              <w:t xml:space="preserve"> relate to agenda 6 and 7 below.</w:t>
            </w:r>
          </w:p>
          <w:p w14:paraId="275FE064" w14:textId="24302EE7" w:rsidR="005D4B0C" w:rsidRDefault="005D4B0C" w:rsidP="002C3254">
            <w:pPr>
              <w:rPr>
                <w:rFonts w:ascii="Verdana" w:hAnsi="Verdana"/>
              </w:rPr>
            </w:pPr>
          </w:p>
          <w:p w14:paraId="6D0AD55B" w14:textId="77777777" w:rsidR="005D4B0C" w:rsidRDefault="005D4B0C" w:rsidP="005D4B0C">
            <w:pPr>
              <w:rPr>
                <w:rFonts w:ascii="Verdana" w:hAnsi="Verdana"/>
                <w:bCs/>
              </w:rPr>
            </w:pPr>
            <w:r>
              <w:rPr>
                <w:rFonts w:ascii="Verdana" w:hAnsi="Verdana"/>
                <w:bCs/>
              </w:rPr>
              <w:lastRenderedPageBreak/>
              <w:t>No other risks requiring the Audit Committee’s attention were identified in the course of the meeting.</w:t>
            </w:r>
          </w:p>
          <w:p w14:paraId="6610976B" w14:textId="53895FA4" w:rsidR="00E41EA6" w:rsidRPr="008A1688" w:rsidRDefault="00E41EA6" w:rsidP="002C3254">
            <w:pPr>
              <w:rPr>
                <w:rFonts w:ascii="Verdana" w:hAnsi="Verdana"/>
              </w:rPr>
            </w:pPr>
          </w:p>
        </w:tc>
      </w:tr>
      <w:tr w:rsidR="009D4719" w:rsidRPr="003D3002" w14:paraId="4919FA19" w14:textId="77777777" w:rsidTr="005D0A52">
        <w:tc>
          <w:tcPr>
            <w:tcW w:w="534" w:type="dxa"/>
          </w:tcPr>
          <w:p w14:paraId="289172BA" w14:textId="049C7484" w:rsidR="009D4719" w:rsidRDefault="009D4719" w:rsidP="002C3254">
            <w:pPr>
              <w:rPr>
                <w:rFonts w:ascii="Verdana" w:hAnsi="Verdana"/>
                <w:b/>
              </w:rPr>
            </w:pPr>
            <w:r>
              <w:rPr>
                <w:rFonts w:ascii="Verdana" w:hAnsi="Verdana"/>
                <w:b/>
              </w:rPr>
              <w:lastRenderedPageBreak/>
              <w:t>6</w:t>
            </w:r>
          </w:p>
        </w:tc>
        <w:tc>
          <w:tcPr>
            <w:tcW w:w="9213" w:type="dxa"/>
          </w:tcPr>
          <w:p w14:paraId="26A061F7" w14:textId="77777777" w:rsidR="004C0D44" w:rsidRPr="00431A61" w:rsidRDefault="004C0D44" w:rsidP="004C0D44">
            <w:pPr>
              <w:rPr>
                <w:rFonts w:ascii="Verdana" w:hAnsi="Verdana"/>
                <w:b/>
              </w:rPr>
            </w:pPr>
            <w:r>
              <w:rPr>
                <w:rFonts w:ascii="Verdana" w:hAnsi="Verdana"/>
                <w:b/>
              </w:rPr>
              <w:t xml:space="preserve">College Self-Assessment Report (SAR) 2019-20 and </w:t>
            </w:r>
            <w:r w:rsidRPr="00431A61">
              <w:rPr>
                <w:rFonts w:ascii="Verdana" w:hAnsi="Verdana"/>
                <w:b/>
              </w:rPr>
              <w:t xml:space="preserve">Key Performance Indicators </w:t>
            </w:r>
            <w:r>
              <w:rPr>
                <w:rFonts w:ascii="Verdana" w:hAnsi="Verdana"/>
                <w:b/>
              </w:rPr>
              <w:t xml:space="preserve">(KPI) 2019-20 &amp; </w:t>
            </w:r>
            <w:r w:rsidRPr="00431A61">
              <w:rPr>
                <w:rFonts w:ascii="Verdana" w:hAnsi="Verdana"/>
                <w:b/>
              </w:rPr>
              <w:t>20</w:t>
            </w:r>
            <w:r>
              <w:rPr>
                <w:rFonts w:ascii="Verdana" w:hAnsi="Verdana"/>
                <w:b/>
              </w:rPr>
              <w:t>20</w:t>
            </w:r>
            <w:r w:rsidRPr="00431A61">
              <w:rPr>
                <w:rFonts w:ascii="Verdana" w:hAnsi="Verdana"/>
                <w:b/>
              </w:rPr>
              <w:t>-</w:t>
            </w:r>
            <w:r>
              <w:rPr>
                <w:rFonts w:ascii="Verdana" w:hAnsi="Verdana"/>
                <w:b/>
              </w:rPr>
              <w:t>21</w:t>
            </w:r>
          </w:p>
          <w:p w14:paraId="3611DCA0" w14:textId="77777777" w:rsidR="009D4719" w:rsidRDefault="009D4719" w:rsidP="00E5723C">
            <w:pPr>
              <w:rPr>
                <w:rFonts w:ascii="Verdana" w:hAnsi="Verdana"/>
                <w:b/>
              </w:rPr>
            </w:pPr>
          </w:p>
          <w:p w14:paraId="180225E8" w14:textId="03A6C7AF" w:rsidR="005D4B0C" w:rsidRDefault="005D4B0C" w:rsidP="005D4B0C">
            <w:pPr>
              <w:rPr>
                <w:rFonts w:ascii="Verdana" w:hAnsi="Verdana"/>
              </w:rPr>
            </w:pPr>
            <w:r>
              <w:rPr>
                <w:rFonts w:ascii="Verdana" w:hAnsi="Verdana"/>
              </w:rPr>
              <w:t>The College SAR and KPIs for 201</w:t>
            </w:r>
            <w:r w:rsidR="004C0D44">
              <w:rPr>
                <w:rFonts w:ascii="Verdana" w:hAnsi="Verdana"/>
              </w:rPr>
              <w:t>9</w:t>
            </w:r>
            <w:r>
              <w:rPr>
                <w:rFonts w:ascii="Verdana" w:hAnsi="Verdana"/>
              </w:rPr>
              <w:t>-</w:t>
            </w:r>
            <w:r w:rsidR="004C0D44">
              <w:rPr>
                <w:rFonts w:ascii="Verdana" w:hAnsi="Verdana"/>
              </w:rPr>
              <w:t>20</w:t>
            </w:r>
            <w:r>
              <w:rPr>
                <w:rFonts w:ascii="Verdana" w:hAnsi="Verdana"/>
              </w:rPr>
              <w:t xml:space="preserve"> and </w:t>
            </w:r>
            <w:r w:rsidR="004C0D44">
              <w:rPr>
                <w:rFonts w:ascii="Verdana" w:hAnsi="Verdana"/>
              </w:rPr>
              <w:t>2020</w:t>
            </w:r>
            <w:r>
              <w:rPr>
                <w:rFonts w:ascii="Verdana" w:hAnsi="Verdana"/>
              </w:rPr>
              <w:t>-2</w:t>
            </w:r>
            <w:r w:rsidR="004C0D44">
              <w:rPr>
                <w:rFonts w:ascii="Verdana" w:hAnsi="Verdana"/>
              </w:rPr>
              <w:t>1</w:t>
            </w:r>
            <w:r>
              <w:rPr>
                <w:rFonts w:ascii="Verdana" w:hAnsi="Verdana"/>
              </w:rPr>
              <w:t xml:space="preserve"> were received and considered.</w:t>
            </w:r>
            <w:r w:rsidR="00E41EA6">
              <w:rPr>
                <w:rFonts w:ascii="Verdana" w:hAnsi="Verdana"/>
              </w:rPr>
              <w:t xml:space="preserve"> </w:t>
            </w:r>
            <w:r w:rsidR="004C0D44">
              <w:rPr>
                <w:rFonts w:ascii="Verdana" w:hAnsi="Verdana"/>
              </w:rPr>
              <w:t xml:space="preserve"> </w:t>
            </w:r>
            <w:r w:rsidR="00E41EA6">
              <w:rPr>
                <w:rFonts w:ascii="Verdana" w:hAnsi="Verdana"/>
              </w:rPr>
              <w:t xml:space="preserve">It was noted that the Report relates to the </w:t>
            </w:r>
            <w:r w:rsidR="004C0D44">
              <w:rPr>
                <w:rFonts w:ascii="Verdana" w:hAnsi="Verdana"/>
              </w:rPr>
              <w:t>2019-20</w:t>
            </w:r>
            <w:r w:rsidR="00E41EA6">
              <w:rPr>
                <w:rFonts w:ascii="Verdana" w:hAnsi="Verdana"/>
              </w:rPr>
              <w:t xml:space="preserve"> academic year.</w:t>
            </w:r>
          </w:p>
          <w:p w14:paraId="2C621598" w14:textId="49E32150" w:rsidR="006371BF" w:rsidRDefault="006371BF" w:rsidP="005D4B0C">
            <w:pPr>
              <w:rPr>
                <w:rFonts w:ascii="Verdana" w:hAnsi="Verdana"/>
              </w:rPr>
            </w:pPr>
          </w:p>
          <w:p w14:paraId="7AC069CB" w14:textId="45B704BB" w:rsidR="006371BF" w:rsidRPr="004C0D44" w:rsidRDefault="006371BF" w:rsidP="004C0D44">
            <w:pPr>
              <w:pStyle w:val="NoSpacing"/>
              <w:rPr>
                <w:rFonts w:ascii="Verdana" w:eastAsia="Times New Roman" w:hAnsi="Verdana"/>
                <w:bCs/>
                <w:i/>
                <w:iCs/>
              </w:rPr>
            </w:pPr>
            <w:r w:rsidRPr="004C0D44">
              <w:rPr>
                <w:rFonts w:ascii="Verdana" w:hAnsi="Verdana"/>
              </w:rPr>
              <w:t xml:space="preserve">Members noted the overall statement: </w:t>
            </w:r>
            <w:r w:rsidR="004C0D44" w:rsidRPr="004C0D44">
              <w:rPr>
                <w:rFonts w:ascii="Verdana" w:hAnsi="Verdana"/>
                <w:i/>
                <w:iCs/>
              </w:rPr>
              <w:t xml:space="preserve">we judge the </w:t>
            </w:r>
            <w:r w:rsidR="004C0D44">
              <w:rPr>
                <w:rFonts w:ascii="Verdana" w:hAnsi="Verdana"/>
                <w:i/>
                <w:iCs/>
              </w:rPr>
              <w:t>C</w:t>
            </w:r>
            <w:r w:rsidR="004C0D44" w:rsidRPr="004C0D44">
              <w:rPr>
                <w:rFonts w:ascii="Verdana" w:hAnsi="Verdana"/>
                <w:i/>
                <w:iCs/>
              </w:rPr>
              <w:t>ollege good because our students get a good experience, supported by keen and able staff who are ambitious for their success. This helps the great majority to achieve at and above Sixth Form College benchmarks, to make excellent progress, and to go on to meaningful destinations which are closely related to their programmes of study. In a year where classroom-based learning was brought to a rapid halt due to the pandemic, teachers and support staff rose to the occasion brilliantly, adapting their routines and practice to ensure that students continued to attend, learn and receive valuable support for wellbeing</w:t>
            </w:r>
            <w:r w:rsidR="004C0D44">
              <w:rPr>
                <w:rFonts w:ascii="Verdana" w:hAnsi="Verdana"/>
                <w:i/>
                <w:iCs/>
              </w:rPr>
              <w:t>.</w:t>
            </w:r>
          </w:p>
          <w:p w14:paraId="2574E1DE" w14:textId="77777777" w:rsidR="005D4B0C" w:rsidRDefault="005D4B0C" w:rsidP="005D4B0C">
            <w:pPr>
              <w:rPr>
                <w:rFonts w:ascii="Verdana" w:hAnsi="Verdana"/>
              </w:rPr>
            </w:pPr>
          </w:p>
          <w:p w14:paraId="6EEB0489" w14:textId="7405C15D" w:rsidR="007A5209" w:rsidRDefault="002A29FF" w:rsidP="005D4B0C">
            <w:pPr>
              <w:rPr>
                <w:rFonts w:ascii="Verdana" w:hAnsi="Verdana"/>
                <w:b/>
              </w:rPr>
            </w:pPr>
            <w:r>
              <w:rPr>
                <w:rFonts w:ascii="Verdana" w:hAnsi="Verdana"/>
              </w:rPr>
              <w:t>The</w:t>
            </w:r>
            <w:r w:rsidR="004C0D44">
              <w:rPr>
                <w:rFonts w:ascii="Verdana" w:hAnsi="Verdana"/>
              </w:rPr>
              <w:t xml:space="preserve"> following key strengths were noted</w:t>
            </w:r>
            <w:r w:rsidR="006371BF">
              <w:rPr>
                <w:rFonts w:ascii="Verdana" w:hAnsi="Verdana"/>
              </w:rPr>
              <w:t>:</w:t>
            </w:r>
          </w:p>
        </w:tc>
      </w:tr>
    </w:tbl>
    <w:p w14:paraId="43A28D9F" w14:textId="152ABAE1" w:rsidR="002803F7" w:rsidRDefault="002803F7">
      <w:pPr>
        <w:rPr>
          <w:rFonts w:ascii="Verdana" w:hAnsi="Verdana"/>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296"/>
        <w:gridCol w:w="8748"/>
      </w:tblGrid>
      <w:tr w:rsidR="00F03178" w:rsidRPr="008578A5" w14:paraId="79C658B9" w14:textId="77777777" w:rsidTr="005D0A52">
        <w:tc>
          <w:tcPr>
            <w:tcW w:w="704" w:type="dxa"/>
          </w:tcPr>
          <w:p w14:paraId="2E3FD148" w14:textId="77777777" w:rsidR="00F03178" w:rsidRDefault="00F03178" w:rsidP="00F03178">
            <w:pPr>
              <w:pStyle w:val="NoSpacing"/>
              <w:rPr>
                <w:b/>
              </w:rPr>
            </w:pPr>
          </w:p>
        </w:tc>
        <w:tc>
          <w:tcPr>
            <w:tcW w:w="284" w:type="dxa"/>
          </w:tcPr>
          <w:p w14:paraId="614C7F4F" w14:textId="77777777" w:rsidR="00F03178" w:rsidRPr="00CA4D79" w:rsidRDefault="00F03178" w:rsidP="00F03178">
            <w:pPr>
              <w:pStyle w:val="NoSpacing"/>
              <w:rPr>
                <w:b/>
              </w:rPr>
            </w:pPr>
            <w:r>
              <w:rPr>
                <w:b/>
              </w:rPr>
              <w:t>.</w:t>
            </w:r>
          </w:p>
        </w:tc>
        <w:tc>
          <w:tcPr>
            <w:tcW w:w="8759" w:type="dxa"/>
          </w:tcPr>
          <w:p w14:paraId="519B0CB8" w14:textId="6F6D7E8E" w:rsidR="003E3025" w:rsidRPr="002A29FF" w:rsidRDefault="002A29FF" w:rsidP="00F03178">
            <w:pPr>
              <w:rPr>
                <w:rFonts w:ascii="Verdana" w:hAnsi="Verdana"/>
              </w:rPr>
            </w:pPr>
            <w:r w:rsidRPr="002A29FF">
              <w:rPr>
                <w:rFonts w:ascii="Verdana" w:hAnsi="Verdana"/>
              </w:rPr>
              <w:t>leaders and staff have developed a positive and solutions-focused culture</w:t>
            </w:r>
            <w:r>
              <w:rPr>
                <w:rFonts w:ascii="Verdana" w:hAnsi="Verdana"/>
              </w:rPr>
              <w:t>, such that,</w:t>
            </w:r>
            <w:r w:rsidRPr="002A29FF">
              <w:rPr>
                <w:rFonts w:ascii="Verdana" w:hAnsi="Verdana"/>
              </w:rPr>
              <w:t xml:space="preserve"> when the pandemic hit, staff were able to work together quickly to transform the work of the college, with the great majority of students participating in education throughout the shutdown and relatively little loss in learning;</w:t>
            </w:r>
          </w:p>
          <w:p w14:paraId="731F0A39" w14:textId="0D3F548B" w:rsidR="002A29FF" w:rsidRPr="002A29FF" w:rsidRDefault="002A29FF" w:rsidP="00F03178">
            <w:pPr>
              <w:rPr>
                <w:rFonts w:ascii="Verdana" w:hAnsi="Verdana" w:cs="Arial"/>
              </w:rPr>
            </w:pPr>
          </w:p>
        </w:tc>
      </w:tr>
      <w:tr w:rsidR="00F03178" w:rsidRPr="008578A5" w14:paraId="10D894CA" w14:textId="77777777" w:rsidTr="005D0A52">
        <w:tc>
          <w:tcPr>
            <w:tcW w:w="704" w:type="dxa"/>
          </w:tcPr>
          <w:p w14:paraId="4946BCCC" w14:textId="77777777" w:rsidR="00F03178" w:rsidRDefault="00F03178" w:rsidP="00F03178">
            <w:pPr>
              <w:pStyle w:val="NoSpacing"/>
              <w:rPr>
                <w:b/>
              </w:rPr>
            </w:pPr>
          </w:p>
        </w:tc>
        <w:tc>
          <w:tcPr>
            <w:tcW w:w="284" w:type="dxa"/>
          </w:tcPr>
          <w:p w14:paraId="39C5C73C" w14:textId="77777777" w:rsidR="00F03178" w:rsidRPr="00CA4D79" w:rsidRDefault="00F03178" w:rsidP="00F03178">
            <w:pPr>
              <w:pStyle w:val="NoSpacing"/>
              <w:rPr>
                <w:b/>
              </w:rPr>
            </w:pPr>
            <w:r>
              <w:rPr>
                <w:b/>
              </w:rPr>
              <w:t>.</w:t>
            </w:r>
          </w:p>
        </w:tc>
        <w:tc>
          <w:tcPr>
            <w:tcW w:w="8759" w:type="dxa"/>
          </w:tcPr>
          <w:p w14:paraId="5D40C0C7" w14:textId="350B7853" w:rsidR="003E3025" w:rsidRPr="002A29FF" w:rsidRDefault="002A29FF" w:rsidP="00F03178">
            <w:pPr>
              <w:rPr>
                <w:rFonts w:ascii="Verdana" w:hAnsi="Verdana"/>
              </w:rPr>
            </w:pPr>
            <w:r w:rsidRPr="002A29FF">
              <w:rPr>
                <w:rFonts w:ascii="Verdana" w:hAnsi="Verdana"/>
              </w:rPr>
              <w:t xml:space="preserve">leaders and teachers set high expectations for behaviour and participation in the classroom and across the college: as a result </w:t>
            </w:r>
            <w:r>
              <w:rPr>
                <w:rFonts w:ascii="Verdana" w:hAnsi="Verdana"/>
              </w:rPr>
              <w:t xml:space="preserve">of which </w:t>
            </w:r>
            <w:r w:rsidRPr="002A29FF">
              <w:rPr>
                <w:rFonts w:ascii="Verdana" w:hAnsi="Verdana"/>
              </w:rPr>
              <w:t>students behave well, engage in study and other worthwhile activities on campus, and make good progress;</w:t>
            </w:r>
          </w:p>
          <w:p w14:paraId="006736CB" w14:textId="0ABF0573" w:rsidR="002A29FF" w:rsidRPr="002A29FF" w:rsidRDefault="002A29FF" w:rsidP="00F03178">
            <w:pPr>
              <w:rPr>
                <w:rFonts w:ascii="Verdana" w:hAnsi="Verdana" w:cs="Arial"/>
              </w:rPr>
            </w:pPr>
          </w:p>
        </w:tc>
      </w:tr>
      <w:tr w:rsidR="00F03178" w:rsidRPr="00CA4D79" w14:paraId="2980DDEA" w14:textId="77777777" w:rsidTr="005D0A52">
        <w:tc>
          <w:tcPr>
            <w:tcW w:w="704" w:type="dxa"/>
          </w:tcPr>
          <w:p w14:paraId="5FD0C03B" w14:textId="77777777" w:rsidR="00F03178" w:rsidRPr="00CA4D79" w:rsidRDefault="00F03178" w:rsidP="00F03178">
            <w:pPr>
              <w:pStyle w:val="NoSpacing"/>
              <w:rPr>
                <w:b/>
              </w:rPr>
            </w:pPr>
          </w:p>
        </w:tc>
        <w:tc>
          <w:tcPr>
            <w:tcW w:w="284" w:type="dxa"/>
          </w:tcPr>
          <w:p w14:paraId="666B6FC6" w14:textId="77777777" w:rsidR="00F03178" w:rsidRPr="00CA4D79" w:rsidRDefault="00F03178" w:rsidP="00F03178">
            <w:pPr>
              <w:pStyle w:val="NoSpacing"/>
              <w:rPr>
                <w:b/>
              </w:rPr>
            </w:pPr>
            <w:r w:rsidRPr="00CA4D79">
              <w:rPr>
                <w:b/>
              </w:rPr>
              <w:t>.</w:t>
            </w:r>
          </w:p>
        </w:tc>
        <w:tc>
          <w:tcPr>
            <w:tcW w:w="8759" w:type="dxa"/>
          </w:tcPr>
          <w:p w14:paraId="349DE18A" w14:textId="3FDFB71E" w:rsidR="00380983" w:rsidRPr="002A29FF" w:rsidRDefault="002A29FF" w:rsidP="00F03178">
            <w:pPr>
              <w:pStyle w:val="NoSpacing"/>
            </w:pPr>
            <w:r w:rsidRPr="002A29FF">
              <w:t xml:space="preserve">teachers benefit from a co-ordinated and tailored programme of support to improve their craft, </w:t>
            </w:r>
            <w:r>
              <w:t>with</w:t>
            </w:r>
            <w:r w:rsidRPr="002A29FF">
              <w:t xml:space="preserve"> plenty of opportunities to share, watch and discuss practice with colleagues;</w:t>
            </w:r>
          </w:p>
          <w:p w14:paraId="60FABABD" w14:textId="33FAB927" w:rsidR="002A29FF" w:rsidRPr="002A29FF" w:rsidRDefault="002A29FF" w:rsidP="00F03178">
            <w:pPr>
              <w:pStyle w:val="NoSpacing"/>
            </w:pPr>
          </w:p>
        </w:tc>
      </w:tr>
      <w:tr w:rsidR="003E3025" w:rsidRPr="00CA4D79" w14:paraId="15558495" w14:textId="77777777" w:rsidTr="005D0A52">
        <w:tc>
          <w:tcPr>
            <w:tcW w:w="704" w:type="dxa"/>
          </w:tcPr>
          <w:p w14:paraId="0C4951AA" w14:textId="77777777" w:rsidR="003E3025" w:rsidRPr="00CA4D79" w:rsidRDefault="003E3025" w:rsidP="00F03178">
            <w:pPr>
              <w:pStyle w:val="NoSpacing"/>
              <w:rPr>
                <w:b/>
              </w:rPr>
            </w:pPr>
          </w:p>
        </w:tc>
        <w:tc>
          <w:tcPr>
            <w:tcW w:w="284" w:type="dxa"/>
          </w:tcPr>
          <w:p w14:paraId="73CEA0AD" w14:textId="004CA350" w:rsidR="003E3025" w:rsidRPr="00CA4D79" w:rsidRDefault="003E3025" w:rsidP="00F03178">
            <w:pPr>
              <w:pStyle w:val="NoSpacing"/>
              <w:rPr>
                <w:b/>
              </w:rPr>
            </w:pPr>
            <w:r>
              <w:rPr>
                <w:b/>
              </w:rPr>
              <w:t>.</w:t>
            </w:r>
          </w:p>
        </w:tc>
        <w:tc>
          <w:tcPr>
            <w:tcW w:w="8759" w:type="dxa"/>
          </w:tcPr>
          <w:p w14:paraId="2DA7F0BA" w14:textId="5A731D98" w:rsidR="003E3025" w:rsidRPr="002A29FF" w:rsidRDefault="002A29FF" w:rsidP="00F03178">
            <w:pPr>
              <w:pStyle w:val="NoSpacing"/>
            </w:pPr>
            <w:r w:rsidRPr="002A29FF">
              <w:t>teachers have developed good routines to help students organise themselves and reflect on their learning</w:t>
            </w:r>
            <w:r>
              <w:t>, enabling them to</w:t>
            </w:r>
            <w:r w:rsidRPr="002A29FF">
              <w:t xml:space="preserve"> have a good understanding of what they need to do to improve and move towards their goals;</w:t>
            </w:r>
          </w:p>
          <w:p w14:paraId="58F6F658" w14:textId="4BAC578F" w:rsidR="002A29FF" w:rsidRPr="002A29FF" w:rsidRDefault="002A29FF" w:rsidP="00F03178">
            <w:pPr>
              <w:pStyle w:val="NoSpacing"/>
            </w:pPr>
          </w:p>
        </w:tc>
      </w:tr>
      <w:tr w:rsidR="003E3025" w:rsidRPr="00CA4D79" w14:paraId="22756564" w14:textId="77777777" w:rsidTr="005D0A52">
        <w:tc>
          <w:tcPr>
            <w:tcW w:w="704" w:type="dxa"/>
          </w:tcPr>
          <w:p w14:paraId="0CCC1037" w14:textId="77777777" w:rsidR="003E3025" w:rsidRPr="00CA4D79" w:rsidRDefault="003E3025" w:rsidP="00F03178">
            <w:pPr>
              <w:pStyle w:val="NoSpacing"/>
              <w:rPr>
                <w:b/>
              </w:rPr>
            </w:pPr>
          </w:p>
        </w:tc>
        <w:tc>
          <w:tcPr>
            <w:tcW w:w="284" w:type="dxa"/>
          </w:tcPr>
          <w:p w14:paraId="0B96B76B" w14:textId="1721DE1A" w:rsidR="003E3025" w:rsidRPr="00CA4D79" w:rsidRDefault="003E3025" w:rsidP="00F03178">
            <w:pPr>
              <w:pStyle w:val="NoSpacing"/>
              <w:rPr>
                <w:b/>
              </w:rPr>
            </w:pPr>
            <w:r>
              <w:rPr>
                <w:b/>
              </w:rPr>
              <w:t>.</w:t>
            </w:r>
          </w:p>
        </w:tc>
        <w:tc>
          <w:tcPr>
            <w:tcW w:w="8759" w:type="dxa"/>
          </w:tcPr>
          <w:p w14:paraId="65CB82B8" w14:textId="7D3A0064" w:rsidR="003E3025" w:rsidRPr="002A29FF" w:rsidRDefault="002A29FF" w:rsidP="003E3025">
            <w:pPr>
              <w:pStyle w:val="NoSpacing"/>
            </w:pPr>
            <w:r w:rsidRPr="002A29FF">
              <w:t>teachers and staff have made good links with employers, and work with them in designing challenges and assessments for students</w:t>
            </w:r>
            <w:r>
              <w:t xml:space="preserve">, such that </w:t>
            </w:r>
            <w:r w:rsidRPr="002A29FF">
              <w:t>most students are able to develop their professional knowledge and skills;</w:t>
            </w:r>
          </w:p>
          <w:p w14:paraId="30074882" w14:textId="4B67BD07" w:rsidR="002A29FF" w:rsidRPr="002A29FF" w:rsidRDefault="002A29FF" w:rsidP="003E3025">
            <w:pPr>
              <w:pStyle w:val="NoSpacing"/>
              <w:rPr>
                <w:i/>
                <w:iCs/>
              </w:rPr>
            </w:pPr>
          </w:p>
        </w:tc>
      </w:tr>
      <w:tr w:rsidR="003E3025" w:rsidRPr="00CA4D79" w14:paraId="1BA767FA" w14:textId="77777777" w:rsidTr="005D0A52">
        <w:tc>
          <w:tcPr>
            <w:tcW w:w="704" w:type="dxa"/>
          </w:tcPr>
          <w:p w14:paraId="0CBF6FB8" w14:textId="77777777" w:rsidR="003E3025" w:rsidRPr="00CA4D79" w:rsidRDefault="003E3025" w:rsidP="00F03178">
            <w:pPr>
              <w:pStyle w:val="NoSpacing"/>
              <w:rPr>
                <w:b/>
              </w:rPr>
            </w:pPr>
          </w:p>
        </w:tc>
        <w:tc>
          <w:tcPr>
            <w:tcW w:w="284" w:type="dxa"/>
          </w:tcPr>
          <w:p w14:paraId="272D96C6" w14:textId="09523B1B" w:rsidR="003E3025" w:rsidRPr="00CA4D79" w:rsidRDefault="003E3025" w:rsidP="00F03178">
            <w:pPr>
              <w:pStyle w:val="NoSpacing"/>
              <w:rPr>
                <w:b/>
              </w:rPr>
            </w:pPr>
            <w:r>
              <w:rPr>
                <w:b/>
              </w:rPr>
              <w:t>.</w:t>
            </w:r>
          </w:p>
        </w:tc>
        <w:tc>
          <w:tcPr>
            <w:tcW w:w="8759" w:type="dxa"/>
          </w:tcPr>
          <w:p w14:paraId="304277C5" w14:textId="352DFDCE" w:rsidR="003E3025" w:rsidRPr="002A29FF" w:rsidRDefault="002A29FF" w:rsidP="00F03178">
            <w:pPr>
              <w:pStyle w:val="NoSpacing"/>
            </w:pPr>
            <w:r w:rsidRPr="002A29FF">
              <w:t>teachers plan and sequence the curriculum so that students attain well, develop a depth of understanding in their subjects and move on to positive destinations related to their programme of study;</w:t>
            </w:r>
          </w:p>
          <w:p w14:paraId="1AFDF4DC" w14:textId="4A36B820" w:rsidR="002A29FF" w:rsidRPr="002A29FF" w:rsidRDefault="002A29FF" w:rsidP="00F03178">
            <w:pPr>
              <w:pStyle w:val="NoSpacing"/>
            </w:pPr>
          </w:p>
        </w:tc>
      </w:tr>
      <w:tr w:rsidR="003E3025" w:rsidRPr="002A29FF" w14:paraId="0A0064E2" w14:textId="77777777" w:rsidTr="005D0A52">
        <w:tc>
          <w:tcPr>
            <w:tcW w:w="704" w:type="dxa"/>
          </w:tcPr>
          <w:p w14:paraId="44A5A2DA" w14:textId="77777777" w:rsidR="003E3025" w:rsidRPr="002A29FF" w:rsidRDefault="003E3025" w:rsidP="00F03178">
            <w:pPr>
              <w:pStyle w:val="NoSpacing"/>
              <w:rPr>
                <w:b/>
              </w:rPr>
            </w:pPr>
          </w:p>
        </w:tc>
        <w:tc>
          <w:tcPr>
            <w:tcW w:w="284" w:type="dxa"/>
          </w:tcPr>
          <w:p w14:paraId="21656122" w14:textId="0ACBA9FF" w:rsidR="003E3025" w:rsidRPr="002A29FF" w:rsidRDefault="003E3025" w:rsidP="00F03178">
            <w:pPr>
              <w:pStyle w:val="NoSpacing"/>
              <w:rPr>
                <w:b/>
              </w:rPr>
            </w:pPr>
            <w:r w:rsidRPr="002A29FF">
              <w:rPr>
                <w:b/>
              </w:rPr>
              <w:t>.</w:t>
            </w:r>
          </w:p>
        </w:tc>
        <w:tc>
          <w:tcPr>
            <w:tcW w:w="8759" w:type="dxa"/>
          </w:tcPr>
          <w:p w14:paraId="4BD41FBE" w14:textId="26C944E5" w:rsidR="003E3025" w:rsidRPr="002A29FF" w:rsidRDefault="002A29FF" w:rsidP="003E3025">
            <w:pPr>
              <w:contextualSpacing/>
              <w:rPr>
                <w:rFonts w:ascii="Verdana" w:hAnsi="Verdana"/>
                <w:i/>
                <w:iCs/>
              </w:rPr>
            </w:pPr>
            <w:r w:rsidRPr="002A29FF">
              <w:rPr>
                <w:rFonts w:ascii="Verdana" w:hAnsi="Verdana"/>
              </w:rPr>
              <w:t>teachers and staff understand students’ needs and support them very well, adapting lessons, affording opportunities to deepen learning or go beyond the curriculum, and providing drop-in sessions</w:t>
            </w:r>
            <w:r>
              <w:rPr>
                <w:rFonts w:ascii="Verdana" w:hAnsi="Verdana"/>
              </w:rPr>
              <w:t>,</w:t>
            </w:r>
            <w:r w:rsidRPr="002A29FF">
              <w:rPr>
                <w:rFonts w:ascii="Verdana" w:hAnsi="Verdana"/>
              </w:rPr>
              <w:t xml:space="preserve"> </w:t>
            </w:r>
            <w:r>
              <w:rPr>
                <w:rFonts w:ascii="Verdana" w:hAnsi="Verdana"/>
              </w:rPr>
              <w:t>with the result that</w:t>
            </w:r>
            <w:r w:rsidRPr="002A29FF">
              <w:rPr>
                <w:rFonts w:ascii="Verdana" w:hAnsi="Verdana"/>
              </w:rPr>
              <w:t xml:space="preserve"> students </w:t>
            </w:r>
            <w:r w:rsidRPr="002A29FF">
              <w:rPr>
                <w:rFonts w:ascii="Verdana" w:hAnsi="Verdana"/>
              </w:rPr>
              <w:lastRenderedPageBreak/>
              <w:t>develop their confidence and appreciate the good relationships they build</w:t>
            </w:r>
            <w:r>
              <w:rPr>
                <w:rFonts w:ascii="Verdana" w:hAnsi="Verdana"/>
              </w:rPr>
              <w:t xml:space="preserve"> -</w:t>
            </w:r>
            <w:r w:rsidRPr="002A29FF">
              <w:rPr>
                <w:rFonts w:ascii="Verdana" w:hAnsi="Verdana"/>
              </w:rPr>
              <w:t xml:space="preserve"> </w:t>
            </w:r>
            <w:r>
              <w:rPr>
                <w:rFonts w:ascii="Verdana" w:hAnsi="Verdana"/>
              </w:rPr>
              <w:t>d</w:t>
            </w:r>
            <w:r w:rsidRPr="002A29FF">
              <w:rPr>
                <w:rFonts w:ascii="Verdana" w:hAnsi="Verdana"/>
              </w:rPr>
              <w:t xml:space="preserve">isadvantaged students achieve and progress very well, out-performing their peers; </w:t>
            </w:r>
            <w:r w:rsidRPr="002A29FF">
              <w:rPr>
                <w:rFonts w:ascii="Verdana" w:hAnsi="Verdana"/>
                <w:i/>
                <w:iCs/>
              </w:rPr>
              <w:t>and</w:t>
            </w:r>
          </w:p>
          <w:p w14:paraId="494C2A52" w14:textId="620A9A73" w:rsidR="002A29FF" w:rsidRPr="002A29FF" w:rsidRDefault="002A29FF" w:rsidP="003E3025">
            <w:pPr>
              <w:contextualSpacing/>
              <w:rPr>
                <w:rFonts w:ascii="Verdana" w:hAnsi="Verdana"/>
                <w:i/>
                <w:iCs/>
              </w:rPr>
            </w:pPr>
          </w:p>
        </w:tc>
      </w:tr>
      <w:tr w:rsidR="003E3025" w:rsidRPr="00CA4D79" w14:paraId="4DE2A473" w14:textId="77777777" w:rsidTr="005D0A52">
        <w:tc>
          <w:tcPr>
            <w:tcW w:w="704" w:type="dxa"/>
          </w:tcPr>
          <w:p w14:paraId="4C2AE474" w14:textId="77777777" w:rsidR="003E3025" w:rsidRPr="002A29FF" w:rsidRDefault="003E3025" w:rsidP="00F03178">
            <w:pPr>
              <w:pStyle w:val="NoSpacing"/>
              <w:rPr>
                <w:b/>
              </w:rPr>
            </w:pPr>
          </w:p>
        </w:tc>
        <w:tc>
          <w:tcPr>
            <w:tcW w:w="284" w:type="dxa"/>
          </w:tcPr>
          <w:p w14:paraId="248B1261" w14:textId="4245436D" w:rsidR="003E3025" w:rsidRPr="002A29FF" w:rsidRDefault="003E3025" w:rsidP="00F03178">
            <w:pPr>
              <w:pStyle w:val="NoSpacing"/>
              <w:rPr>
                <w:b/>
              </w:rPr>
            </w:pPr>
            <w:r w:rsidRPr="002A29FF">
              <w:rPr>
                <w:b/>
              </w:rPr>
              <w:t>.</w:t>
            </w:r>
          </w:p>
        </w:tc>
        <w:tc>
          <w:tcPr>
            <w:tcW w:w="8759" w:type="dxa"/>
          </w:tcPr>
          <w:p w14:paraId="064CDDB9" w14:textId="0BAF8333" w:rsidR="003E3025" w:rsidRPr="002A29FF" w:rsidRDefault="002A29FF" w:rsidP="003E3025">
            <w:pPr>
              <w:contextualSpacing/>
              <w:rPr>
                <w:rFonts w:ascii="Verdana" w:hAnsi="Verdana"/>
              </w:rPr>
            </w:pPr>
            <w:r w:rsidRPr="002A29FF">
              <w:rPr>
                <w:rFonts w:ascii="Verdana" w:hAnsi="Verdana"/>
              </w:rPr>
              <w:t>support staff and teachers work well together to provide early help and individual support where students have high needs or particular disabilities or vulnerabilities</w:t>
            </w:r>
            <w:r w:rsidR="0038053F">
              <w:rPr>
                <w:rFonts w:ascii="Verdana" w:hAnsi="Verdana"/>
              </w:rPr>
              <w:t>,</w:t>
            </w:r>
            <w:r w:rsidRPr="002A29FF">
              <w:rPr>
                <w:rFonts w:ascii="Verdana" w:hAnsi="Verdana"/>
              </w:rPr>
              <w:t xml:space="preserve"> </w:t>
            </w:r>
            <w:r w:rsidR="0038053F">
              <w:rPr>
                <w:rFonts w:ascii="Verdana" w:hAnsi="Verdana"/>
              </w:rPr>
              <w:t>enabling</w:t>
            </w:r>
            <w:r w:rsidRPr="002A29FF">
              <w:rPr>
                <w:rFonts w:ascii="Verdana" w:hAnsi="Verdana"/>
              </w:rPr>
              <w:t xml:space="preserve"> </w:t>
            </w:r>
            <w:r w:rsidR="0038053F">
              <w:rPr>
                <w:rFonts w:ascii="Verdana" w:hAnsi="Verdana"/>
              </w:rPr>
              <w:t>them to</w:t>
            </w:r>
            <w:r w:rsidRPr="002A29FF">
              <w:rPr>
                <w:rFonts w:ascii="Verdana" w:hAnsi="Verdana"/>
              </w:rPr>
              <w:t xml:space="preserve"> achieve well and make exceptionally good progress, moving on to positive destinations.</w:t>
            </w:r>
          </w:p>
        </w:tc>
      </w:tr>
    </w:tbl>
    <w:p w14:paraId="7F0A6F6F" w14:textId="77777777" w:rsidR="0084389B" w:rsidRDefault="0084389B" w:rsidP="00402468"/>
    <w:tbl>
      <w:tblPr>
        <w:tblW w:w="9747" w:type="dxa"/>
        <w:tblLook w:val="04A0" w:firstRow="1" w:lastRow="0" w:firstColumn="1" w:lastColumn="0" w:noHBand="0" w:noVBand="1"/>
      </w:tblPr>
      <w:tblGrid>
        <w:gridCol w:w="534"/>
        <w:gridCol w:w="9213"/>
      </w:tblGrid>
      <w:tr w:rsidR="009D7760" w:rsidRPr="0038053F" w14:paraId="7C15E215" w14:textId="77777777" w:rsidTr="005D0A52">
        <w:tc>
          <w:tcPr>
            <w:tcW w:w="534" w:type="dxa"/>
          </w:tcPr>
          <w:p w14:paraId="1DF8628C" w14:textId="77777777" w:rsidR="009D7760" w:rsidRPr="0038053F" w:rsidRDefault="009D7760" w:rsidP="00A61A5C">
            <w:pPr>
              <w:rPr>
                <w:rFonts w:ascii="Verdana" w:hAnsi="Verdana"/>
                <w:b/>
              </w:rPr>
            </w:pPr>
          </w:p>
        </w:tc>
        <w:tc>
          <w:tcPr>
            <w:tcW w:w="9213" w:type="dxa"/>
          </w:tcPr>
          <w:p w14:paraId="5CE94556" w14:textId="5E6F0009" w:rsidR="009D7760" w:rsidRPr="0038053F" w:rsidRDefault="009D7760" w:rsidP="00A61A5C">
            <w:pPr>
              <w:pStyle w:val="NoSpacing"/>
              <w:rPr>
                <w:rFonts w:ascii="Verdana" w:hAnsi="Verdana"/>
              </w:rPr>
            </w:pPr>
            <w:r w:rsidRPr="0038053F">
              <w:rPr>
                <w:rFonts w:ascii="Verdana" w:hAnsi="Verdana"/>
              </w:rPr>
              <w:t>The following areas for improvement were also reported:</w:t>
            </w:r>
          </w:p>
        </w:tc>
      </w:tr>
    </w:tbl>
    <w:p w14:paraId="79C537BE" w14:textId="6361374D" w:rsidR="009D7760" w:rsidRPr="0038053F" w:rsidRDefault="009D7760" w:rsidP="00402468">
      <w:pPr>
        <w:rPr>
          <w:rFonts w:ascii="Verdana" w:hAnsi="Verdana"/>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296"/>
        <w:gridCol w:w="8748"/>
      </w:tblGrid>
      <w:tr w:rsidR="009D7760" w:rsidRPr="0038053F" w14:paraId="5DD39AED" w14:textId="77777777" w:rsidTr="005D0A52">
        <w:tc>
          <w:tcPr>
            <w:tcW w:w="704" w:type="dxa"/>
          </w:tcPr>
          <w:p w14:paraId="09864296" w14:textId="77777777" w:rsidR="009D7760" w:rsidRPr="0038053F" w:rsidRDefault="009D7760" w:rsidP="00A61A5C">
            <w:pPr>
              <w:pStyle w:val="NoSpacing"/>
              <w:rPr>
                <w:b/>
              </w:rPr>
            </w:pPr>
          </w:p>
        </w:tc>
        <w:tc>
          <w:tcPr>
            <w:tcW w:w="284" w:type="dxa"/>
          </w:tcPr>
          <w:p w14:paraId="7EB524D1" w14:textId="77777777" w:rsidR="009D7760" w:rsidRPr="0038053F" w:rsidRDefault="009D7760" w:rsidP="00A61A5C">
            <w:pPr>
              <w:pStyle w:val="NoSpacing"/>
              <w:rPr>
                <w:b/>
              </w:rPr>
            </w:pPr>
            <w:r w:rsidRPr="0038053F">
              <w:rPr>
                <w:b/>
              </w:rPr>
              <w:t>.</w:t>
            </w:r>
          </w:p>
        </w:tc>
        <w:tc>
          <w:tcPr>
            <w:tcW w:w="8759" w:type="dxa"/>
          </w:tcPr>
          <w:p w14:paraId="4649A82C" w14:textId="77777777" w:rsidR="009D7760" w:rsidRPr="0038053F" w:rsidRDefault="0038053F" w:rsidP="00A61A5C">
            <w:pPr>
              <w:rPr>
                <w:rFonts w:ascii="Verdana" w:hAnsi="Verdana"/>
              </w:rPr>
            </w:pPr>
            <w:r w:rsidRPr="0038053F">
              <w:rPr>
                <w:rFonts w:ascii="Verdana" w:hAnsi="Verdana"/>
              </w:rPr>
              <w:t>leaders have not done enough to strengthen the culture of numeracy and literacy and therefore students do not place enough value on these skills, and do not attend additional English and maths at the same rate as their other lessons;</w:t>
            </w:r>
          </w:p>
          <w:p w14:paraId="230DA730" w14:textId="6779CA10" w:rsidR="0038053F" w:rsidRPr="0038053F" w:rsidRDefault="0038053F" w:rsidP="00A61A5C">
            <w:pPr>
              <w:rPr>
                <w:rFonts w:ascii="Verdana" w:hAnsi="Verdana" w:cs="Arial"/>
              </w:rPr>
            </w:pPr>
          </w:p>
        </w:tc>
      </w:tr>
      <w:tr w:rsidR="009D7760" w:rsidRPr="0038053F" w14:paraId="65AF53D4" w14:textId="77777777" w:rsidTr="005D0A52">
        <w:tc>
          <w:tcPr>
            <w:tcW w:w="704" w:type="dxa"/>
          </w:tcPr>
          <w:p w14:paraId="19EB62AC" w14:textId="77777777" w:rsidR="009D7760" w:rsidRPr="0038053F" w:rsidRDefault="009D7760" w:rsidP="00A61A5C">
            <w:pPr>
              <w:pStyle w:val="NoSpacing"/>
              <w:rPr>
                <w:b/>
              </w:rPr>
            </w:pPr>
          </w:p>
        </w:tc>
        <w:tc>
          <w:tcPr>
            <w:tcW w:w="284" w:type="dxa"/>
          </w:tcPr>
          <w:p w14:paraId="76351B86" w14:textId="77777777" w:rsidR="009D7760" w:rsidRPr="0038053F" w:rsidRDefault="009D7760" w:rsidP="00A61A5C">
            <w:pPr>
              <w:pStyle w:val="NoSpacing"/>
              <w:rPr>
                <w:b/>
              </w:rPr>
            </w:pPr>
            <w:r w:rsidRPr="0038053F">
              <w:rPr>
                <w:b/>
              </w:rPr>
              <w:t>.</w:t>
            </w:r>
          </w:p>
        </w:tc>
        <w:tc>
          <w:tcPr>
            <w:tcW w:w="8759" w:type="dxa"/>
          </w:tcPr>
          <w:p w14:paraId="2E5FE1BF" w14:textId="77777777" w:rsidR="009D7760" w:rsidRPr="0038053F" w:rsidRDefault="0038053F" w:rsidP="00A61A5C">
            <w:pPr>
              <w:rPr>
                <w:rFonts w:ascii="Verdana" w:hAnsi="Verdana"/>
              </w:rPr>
            </w:pPr>
            <w:r w:rsidRPr="0038053F">
              <w:rPr>
                <w:rFonts w:ascii="Verdana" w:hAnsi="Verdana"/>
              </w:rPr>
              <w:t>teachers in Media and Mathematics do not assess students’ broad knowledge and skills frequently enough, and as a result tend to over-estimate the progress that students are making;</w:t>
            </w:r>
          </w:p>
          <w:p w14:paraId="098F9E0F" w14:textId="1C597165" w:rsidR="0038053F" w:rsidRPr="0038053F" w:rsidRDefault="0038053F" w:rsidP="00A61A5C">
            <w:pPr>
              <w:rPr>
                <w:rFonts w:ascii="Verdana" w:hAnsi="Verdana" w:cs="Arial"/>
              </w:rPr>
            </w:pPr>
          </w:p>
        </w:tc>
      </w:tr>
      <w:tr w:rsidR="009D7760" w:rsidRPr="0038053F" w14:paraId="28EB8EC7" w14:textId="77777777" w:rsidTr="005D0A52">
        <w:tc>
          <w:tcPr>
            <w:tcW w:w="704" w:type="dxa"/>
          </w:tcPr>
          <w:p w14:paraId="122FD691" w14:textId="77777777" w:rsidR="009D7760" w:rsidRPr="0038053F" w:rsidRDefault="009D7760" w:rsidP="00A61A5C">
            <w:pPr>
              <w:pStyle w:val="NoSpacing"/>
              <w:rPr>
                <w:b/>
              </w:rPr>
            </w:pPr>
          </w:p>
        </w:tc>
        <w:tc>
          <w:tcPr>
            <w:tcW w:w="284" w:type="dxa"/>
          </w:tcPr>
          <w:p w14:paraId="50473764" w14:textId="77777777" w:rsidR="009D7760" w:rsidRPr="0038053F" w:rsidRDefault="009D7760" w:rsidP="00A61A5C">
            <w:pPr>
              <w:pStyle w:val="NoSpacing"/>
              <w:rPr>
                <w:b/>
              </w:rPr>
            </w:pPr>
            <w:r w:rsidRPr="0038053F">
              <w:rPr>
                <w:b/>
              </w:rPr>
              <w:t>.</w:t>
            </w:r>
          </w:p>
        </w:tc>
        <w:tc>
          <w:tcPr>
            <w:tcW w:w="8759" w:type="dxa"/>
          </w:tcPr>
          <w:p w14:paraId="408D9BE2" w14:textId="3A33AD8C" w:rsidR="009D7760" w:rsidRPr="0038053F" w:rsidRDefault="0038053F" w:rsidP="00A61A5C">
            <w:pPr>
              <w:pStyle w:val="NoSpacing"/>
              <w:rPr>
                <w:i/>
                <w:iCs/>
              </w:rPr>
            </w:pPr>
            <w:r w:rsidRPr="0038053F">
              <w:t xml:space="preserve">some teachers do not set high enough academic expectations for students, for example </w:t>
            </w:r>
            <w:r>
              <w:t>by</w:t>
            </w:r>
            <w:r w:rsidRPr="0038053F">
              <w:t xml:space="preserve"> insisting that students produce good work to deadline</w:t>
            </w:r>
            <w:r>
              <w:t>, with the result</w:t>
            </w:r>
            <w:r w:rsidRPr="0038053F">
              <w:t xml:space="preserve"> </w:t>
            </w:r>
            <w:r>
              <w:t>that</w:t>
            </w:r>
            <w:r w:rsidRPr="0038053F">
              <w:t xml:space="preserve"> some lessons are insufficiently challenging and homework may be </w:t>
            </w:r>
            <w:r>
              <w:t>uneven</w:t>
            </w:r>
            <w:r w:rsidRPr="0038053F">
              <w:t xml:space="preserve"> in quality; </w:t>
            </w:r>
            <w:r w:rsidRPr="0038053F">
              <w:rPr>
                <w:i/>
                <w:iCs/>
              </w:rPr>
              <w:t>and</w:t>
            </w:r>
          </w:p>
          <w:p w14:paraId="3AAA0E18" w14:textId="4B7AC969" w:rsidR="0038053F" w:rsidRPr="0038053F" w:rsidRDefault="0038053F" w:rsidP="00A61A5C">
            <w:pPr>
              <w:pStyle w:val="NoSpacing"/>
              <w:rPr>
                <w:i/>
                <w:iCs/>
              </w:rPr>
            </w:pPr>
          </w:p>
        </w:tc>
      </w:tr>
      <w:tr w:rsidR="009D7760" w:rsidRPr="0038053F" w14:paraId="510C16C6" w14:textId="77777777" w:rsidTr="005D0A52">
        <w:tc>
          <w:tcPr>
            <w:tcW w:w="704" w:type="dxa"/>
          </w:tcPr>
          <w:p w14:paraId="6FD13CE2" w14:textId="77777777" w:rsidR="009D7760" w:rsidRPr="0038053F" w:rsidRDefault="009D7760" w:rsidP="00A61A5C">
            <w:pPr>
              <w:pStyle w:val="NoSpacing"/>
              <w:rPr>
                <w:b/>
              </w:rPr>
            </w:pPr>
          </w:p>
        </w:tc>
        <w:tc>
          <w:tcPr>
            <w:tcW w:w="284" w:type="dxa"/>
          </w:tcPr>
          <w:p w14:paraId="4919AD13" w14:textId="77777777" w:rsidR="009D7760" w:rsidRPr="0038053F" w:rsidRDefault="009D7760" w:rsidP="00A61A5C">
            <w:pPr>
              <w:pStyle w:val="NoSpacing"/>
              <w:rPr>
                <w:b/>
              </w:rPr>
            </w:pPr>
            <w:r w:rsidRPr="0038053F">
              <w:rPr>
                <w:b/>
              </w:rPr>
              <w:t>.</w:t>
            </w:r>
          </w:p>
        </w:tc>
        <w:tc>
          <w:tcPr>
            <w:tcW w:w="8759" w:type="dxa"/>
          </w:tcPr>
          <w:p w14:paraId="34162812" w14:textId="5CA5EF3A" w:rsidR="009D7760" w:rsidRPr="0038053F" w:rsidRDefault="0038053F" w:rsidP="00A61A5C">
            <w:pPr>
              <w:pStyle w:val="NoSpacing"/>
            </w:pPr>
            <w:r w:rsidRPr="0038053F">
              <w:t>in some areas, such as in GCSEs or on the Performing Arts programme, teachers do no</w:t>
            </w:r>
            <w:r>
              <w:t>t</w:t>
            </w:r>
            <w:r w:rsidRPr="0038053F">
              <w:t xml:space="preserve"> co-ordinate</w:t>
            </w:r>
            <w:r>
              <w:t xml:space="preserve"> sufficiently</w:t>
            </w:r>
            <w:r w:rsidRPr="0038053F">
              <w:t xml:space="preserve"> to share course planning</w:t>
            </w:r>
            <w:r>
              <w:t>,</w:t>
            </w:r>
            <w:r w:rsidRPr="0038053F">
              <w:t xml:space="preserve"> and as a result workload is higher than it might </w:t>
            </w:r>
            <w:r>
              <w:t xml:space="preserve">otherwise </w:t>
            </w:r>
            <w:r w:rsidRPr="0038053F">
              <w:t>be and the student experience can lack consistency.</w:t>
            </w:r>
          </w:p>
        </w:tc>
      </w:tr>
    </w:tbl>
    <w:p w14:paraId="4B9FB9C5" w14:textId="61C3EC32" w:rsidR="0038053F" w:rsidRDefault="0038053F" w:rsidP="00402468"/>
    <w:tbl>
      <w:tblPr>
        <w:tblW w:w="9747" w:type="dxa"/>
        <w:tblLook w:val="04A0" w:firstRow="1" w:lastRow="0" w:firstColumn="1" w:lastColumn="0" w:noHBand="0" w:noVBand="1"/>
      </w:tblPr>
      <w:tblGrid>
        <w:gridCol w:w="534"/>
        <w:gridCol w:w="9213"/>
      </w:tblGrid>
      <w:tr w:rsidR="00652C29" w:rsidRPr="00085599" w14:paraId="09EA2B41" w14:textId="77777777" w:rsidTr="005D0A52">
        <w:tc>
          <w:tcPr>
            <w:tcW w:w="534" w:type="dxa"/>
          </w:tcPr>
          <w:p w14:paraId="3DE95F13" w14:textId="77777777" w:rsidR="00652C29" w:rsidRPr="00085599" w:rsidRDefault="00652C29" w:rsidP="00085599">
            <w:pPr>
              <w:rPr>
                <w:rFonts w:ascii="Verdana" w:hAnsi="Verdana"/>
                <w:b/>
              </w:rPr>
            </w:pPr>
          </w:p>
        </w:tc>
        <w:tc>
          <w:tcPr>
            <w:tcW w:w="9213" w:type="dxa"/>
          </w:tcPr>
          <w:p w14:paraId="7A9D8002" w14:textId="59E3DD2B" w:rsidR="00652C29" w:rsidRPr="00085599" w:rsidRDefault="00085599" w:rsidP="00085599">
            <w:pPr>
              <w:pStyle w:val="NoSpacing"/>
              <w:rPr>
                <w:rFonts w:ascii="Verdana" w:hAnsi="Verdana"/>
              </w:rPr>
            </w:pPr>
            <w:r w:rsidRPr="00A015C2">
              <w:rPr>
                <w:rFonts w:ascii="Verdana" w:hAnsi="Verdana"/>
                <w:b/>
                <w:bCs/>
              </w:rPr>
              <w:t>The Quality of Education</w:t>
            </w:r>
            <w:r w:rsidRPr="00085599">
              <w:rPr>
                <w:rFonts w:ascii="Verdana" w:hAnsi="Verdana"/>
              </w:rPr>
              <w:t xml:space="preserve"> was assessed as </w:t>
            </w:r>
            <w:r w:rsidRPr="00A015C2">
              <w:rPr>
                <w:rFonts w:ascii="Verdana" w:hAnsi="Verdana"/>
                <w:b/>
                <w:bCs/>
              </w:rPr>
              <w:t>Good</w:t>
            </w:r>
            <w:r w:rsidRPr="00085599">
              <w:rPr>
                <w:rFonts w:ascii="Verdana" w:hAnsi="Verdana"/>
              </w:rPr>
              <w:t>, with the following supporting rationale:</w:t>
            </w:r>
          </w:p>
          <w:p w14:paraId="76CF88B0" w14:textId="77777777" w:rsidR="00085599" w:rsidRPr="00085599" w:rsidRDefault="00085599" w:rsidP="00085599">
            <w:pPr>
              <w:pStyle w:val="NoSpacing"/>
              <w:rPr>
                <w:rFonts w:ascii="Verdana" w:hAnsi="Verdana"/>
              </w:rPr>
            </w:pPr>
          </w:p>
          <w:p w14:paraId="2E24BF2D" w14:textId="77777777" w:rsidR="00085599" w:rsidRPr="00085599" w:rsidRDefault="00085599" w:rsidP="00085599">
            <w:pPr>
              <w:pStyle w:val="NoSpacing"/>
              <w:rPr>
                <w:rFonts w:ascii="Verdana" w:hAnsi="Verdana"/>
                <w:i/>
                <w:iCs/>
              </w:rPr>
            </w:pPr>
            <w:r w:rsidRPr="00085599">
              <w:rPr>
                <w:rFonts w:ascii="Verdana" w:hAnsi="Verdana"/>
                <w:i/>
                <w:iCs/>
              </w:rPr>
              <w:t>The quality of education is good because the great majority of teachers plan and structure their courses effectively, deploy expert knowledge so that students learn well, and use a wide range of assessment techniques to adapt teaching and help students to build long term recall.  They encourage students to research and participate in activities which take them beyond the assessed curriculum, and prepare them well for their next steps.  Students receive feedback on their work which helps them understand what they need to do to improve.  As a result, the large majority of students enjoy their learning, develop valuable knowledge and skills, achieve well, and meet challenging learning aims.  Students on vocational courses routinely make exceptional progress.</w:t>
            </w:r>
          </w:p>
          <w:p w14:paraId="36C7704D" w14:textId="73E17C04" w:rsidR="00085599" w:rsidRDefault="00085599" w:rsidP="00085599">
            <w:pPr>
              <w:pStyle w:val="NoSpacing"/>
              <w:rPr>
                <w:rFonts w:ascii="Verdana" w:hAnsi="Verdana"/>
                <w:i/>
                <w:iCs/>
              </w:rPr>
            </w:pPr>
          </w:p>
          <w:p w14:paraId="69AB4F13" w14:textId="3C1BAE2A" w:rsidR="00A015C2" w:rsidRPr="00A015C2" w:rsidRDefault="00A015C2" w:rsidP="00A015C2">
            <w:pPr>
              <w:pStyle w:val="NoSpacing"/>
              <w:rPr>
                <w:rFonts w:ascii="Verdana" w:hAnsi="Verdana"/>
              </w:rPr>
            </w:pPr>
            <w:r w:rsidRPr="00A015C2">
              <w:rPr>
                <w:rFonts w:ascii="Verdana" w:hAnsi="Verdana"/>
                <w:b/>
                <w:bCs/>
              </w:rPr>
              <w:t>Behaviour and Attitudes</w:t>
            </w:r>
            <w:r w:rsidRPr="00A015C2">
              <w:rPr>
                <w:rFonts w:ascii="Verdana" w:hAnsi="Verdana"/>
              </w:rPr>
              <w:t xml:space="preserve"> were assessed as </w:t>
            </w:r>
            <w:r w:rsidRPr="00A015C2">
              <w:rPr>
                <w:rFonts w:ascii="Verdana" w:hAnsi="Verdana"/>
                <w:b/>
                <w:bCs/>
              </w:rPr>
              <w:t>Good</w:t>
            </w:r>
            <w:r w:rsidRPr="00A015C2">
              <w:rPr>
                <w:rFonts w:ascii="Verdana" w:hAnsi="Verdana"/>
              </w:rPr>
              <w:t>, with the following rationale:</w:t>
            </w:r>
          </w:p>
          <w:p w14:paraId="2C5F9386" w14:textId="0CF56152" w:rsidR="00A015C2" w:rsidRPr="00A015C2" w:rsidRDefault="00A015C2" w:rsidP="00085599">
            <w:pPr>
              <w:pStyle w:val="NoSpacing"/>
              <w:rPr>
                <w:rFonts w:ascii="Verdana" w:hAnsi="Verdana"/>
                <w:i/>
                <w:iCs/>
              </w:rPr>
            </w:pPr>
          </w:p>
          <w:p w14:paraId="3CA33505" w14:textId="42FCF5E0" w:rsidR="00A015C2" w:rsidRPr="00A015C2" w:rsidRDefault="00A015C2" w:rsidP="00085599">
            <w:pPr>
              <w:pStyle w:val="NoSpacing"/>
              <w:rPr>
                <w:rFonts w:ascii="Verdana" w:hAnsi="Verdana"/>
                <w:i/>
                <w:iCs/>
              </w:rPr>
            </w:pPr>
            <w:r w:rsidRPr="00A015C2">
              <w:rPr>
                <w:rFonts w:ascii="Verdana" w:hAnsi="Verdana"/>
                <w:i/>
                <w:iCs/>
              </w:rPr>
              <w:t xml:space="preserve">Behaviour and attitudes are good because students benefit from an ambitious and caring culture that values hard work, motivating them to take their studies seriously and to aim to progress to good destinations. Through online assemblies, individual reflective tasks and classroom discussions, they gain an </w:t>
            </w:r>
            <w:r w:rsidRPr="00A015C2">
              <w:rPr>
                <w:rFonts w:ascii="Verdana" w:hAnsi="Verdana"/>
                <w:i/>
                <w:iCs/>
              </w:rPr>
              <w:lastRenderedPageBreak/>
              <w:t>appropriate understanding of life in modern Britain and the potential risks to their safety, including risks relating to radicalisation, extremism an</w:t>
            </w:r>
            <w:r>
              <w:rPr>
                <w:rFonts w:ascii="Verdana" w:hAnsi="Verdana"/>
                <w:i/>
                <w:iCs/>
              </w:rPr>
              <w:t>d gangs.</w:t>
            </w:r>
          </w:p>
          <w:p w14:paraId="099991EE" w14:textId="77777777" w:rsidR="00A015C2" w:rsidRPr="00A015C2" w:rsidRDefault="00A015C2" w:rsidP="00085599">
            <w:pPr>
              <w:pStyle w:val="NoSpacing"/>
              <w:rPr>
                <w:rFonts w:ascii="Verdana" w:hAnsi="Verdana"/>
                <w:i/>
                <w:iCs/>
              </w:rPr>
            </w:pPr>
          </w:p>
          <w:p w14:paraId="4865D889" w14:textId="77777777" w:rsidR="00085599" w:rsidRPr="00085599" w:rsidRDefault="00085599" w:rsidP="00085599">
            <w:pPr>
              <w:pStyle w:val="NoSpacing"/>
              <w:rPr>
                <w:rFonts w:ascii="Verdana" w:hAnsi="Verdana"/>
              </w:rPr>
            </w:pPr>
            <w:r w:rsidRPr="00747AF6">
              <w:rPr>
                <w:rFonts w:ascii="Verdana" w:hAnsi="Verdana"/>
                <w:b/>
                <w:bCs/>
              </w:rPr>
              <w:t>Personal Development</w:t>
            </w:r>
            <w:r w:rsidRPr="00085599">
              <w:rPr>
                <w:rFonts w:ascii="Verdana" w:hAnsi="Verdana"/>
              </w:rPr>
              <w:t xml:space="preserve"> was assessed as Good, with the following rationale:</w:t>
            </w:r>
          </w:p>
          <w:p w14:paraId="18D74157" w14:textId="77777777" w:rsidR="00085599" w:rsidRPr="00085599" w:rsidRDefault="00085599" w:rsidP="00085599">
            <w:pPr>
              <w:pStyle w:val="NoSpacing"/>
              <w:rPr>
                <w:rFonts w:ascii="Verdana" w:hAnsi="Verdana"/>
              </w:rPr>
            </w:pPr>
          </w:p>
          <w:p w14:paraId="75FD3FE2" w14:textId="77777777" w:rsidR="00085599" w:rsidRPr="00085599" w:rsidRDefault="00085599" w:rsidP="00085599">
            <w:pPr>
              <w:pStyle w:val="NoSpacing"/>
              <w:rPr>
                <w:rFonts w:ascii="Verdana" w:hAnsi="Verdana"/>
                <w:i/>
                <w:iCs/>
              </w:rPr>
            </w:pPr>
            <w:r w:rsidRPr="00085599">
              <w:rPr>
                <w:rFonts w:ascii="Verdana" w:hAnsi="Verdana"/>
                <w:i/>
                <w:iCs/>
              </w:rPr>
              <w:t>Personal Development is good because students are challenged to develop their personal effectiveness, community commitment and future readiness through regular reflection and learning in the curriculum, on Passport days, in workshops and assemblies.</w:t>
            </w:r>
          </w:p>
          <w:p w14:paraId="0CD9DA2C" w14:textId="77777777" w:rsidR="00085599" w:rsidRPr="00085599" w:rsidRDefault="00085599" w:rsidP="00085599">
            <w:pPr>
              <w:pStyle w:val="NoSpacing"/>
              <w:rPr>
                <w:rFonts w:ascii="Verdana" w:hAnsi="Verdana"/>
                <w:i/>
                <w:iCs/>
              </w:rPr>
            </w:pPr>
          </w:p>
          <w:p w14:paraId="11518555" w14:textId="193FBCA8" w:rsidR="00085599" w:rsidRDefault="00A015C2" w:rsidP="00085599">
            <w:pPr>
              <w:pStyle w:val="NoSpacing"/>
              <w:rPr>
                <w:rFonts w:ascii="Verdana" w:hAnsi="Verdana"/>
              </w:rPr>
            </w:pPr>
            <w:r>
              <w:rPr>
                <w:rFonts w:ascii="Verdana" w:hAnsi="Verdana"/>
              </w:rPr>
              <w:t xml:space="preserve">With reference to </w:t>
            </w:r>
            <w:r w:rsidRPr="00A015C2">
              <w:rPr>
                <w:rFonts w:ascii="Verdana" w:hAnsi="Verdana"/>
                <w:b/>
                <w:bCs/>
              </w:rPr>
              <w:t>Safeguarding</w:t>
            </w:r>
            <w:r>
              <w:rPr>
                <w:rFonts w:ascii="Verdana" w:hAnsi="Verdana"/>
              </w:rPr>
              <w:t>, t</w:t>
            </w:r>
            <w:r w:rsidR="00085599" w:rsidRPr="00085599">
              <w:rPr>
                <w:rFonts w:ascii="Verdana" w:hAnsi="Verdana"/>
              </w:rPr>
              <w:t xml:space="preserve">he </w:t>
            </w:r>
            <w:r w:rsidR="00085599">
              <w:rPr>
                <w:rFonts w:ascii="Verdana" w:hAnsi="Verdana"/>
              </w:rPr>
              <w:t>C</w:t>
            </w:r>
            <w:r w:rsidR="00085599" w:rsidRPr="00085599">
              <w:rPr>
                <w:rFonts w:ascii="Verdana" w:hAnsi="Verdana"/>
              </w:rPr>
              <w:t xml:space="preserve">ollege is </w:t>
            </w:r>
            <w:r w:rsidR="00085599">
              <w:rPr>
                <w:rFonts w:ascii="Verdana" w:hAnsi="Verdana"/>
              </w:rPr>
              <w:t xml:space="preserve">assessed as being </w:t>
            </w:r>
            <w:r w:rsidR="00085599" w:rsidRPr="00A015C2">
              <w:rPr>
                <w:rFonts w:ascii="Verdana" w:hAnsi="Verdana"/>
                <w:b/>
                <w:bCs/>
              </w:rPr>
              <w:t>safe both on site and online</w:t>
            </w:r>
            <w:r w:rsidR="00085599">
              <w:rPr>
                <w:rFonts w:ascii="Verdana" w:hAnsi="Verdana"/>
              </w:rPr>
              <w:t xml:space="preserve">, </w:t>
            </w:r>
            <w:r w:rsidR="00085599" w:rsidRPr="00085599">
              <w:rPr>
                <w:rFonts w:ascii="Verdana" w:hAnsi="Verdana"/>
              </w:rPr>
              <w:t>help</w:t>
            </w:r>
            <w:r w:rsidR="00085599">
              <w:rPr>
                <w:rFonts w:ascii="Verdana" w:hAnsi="Verdana"/>
              </w:rPr>
              <w:t>ing</w:t>
            </w:r>
            <w:r w:rsidR="00085599" w:rsidRPr="00085599">
              <w:rPr>
                <w:rFonts w:ascii="Verdana" w:hAnsi="Verdana"/>
              </w:rPr>
              <w:t xml:space="preserve"> students to focus on their learning and development, whether studying on campus or at home. </w:t>
            </w:r>
            <w:r w:rsidR="00085599">
              <w:rPr>
                <w:rFonts w:ascii="Verdana" w:hAnsi="Verdana"/>
              </w:rPr>
              <w:t xml:space="preserve"> </w:t>
            </w:r>
            <w:r w:rsidR="00085599" w:rsidRPr="00085599">
              <w:rPr>
                <w:rFonts w:ascii="Verdana" w:hAnsi="Verdana"/>
              </w:rPr>
              <w:t xml:space="preserve">This is achieved through the constant vigilance of well-trained staff, visible leadership of senior managers who intervene promptly and a range of awareness raising initiatives. </w:t>
            </w:r>
            <w:r w:rsidR="00085599">
              <w:rPr>
                <w:rFonts w:ascii="Verdana" w:hAnsi="Verdana"/>
              </w:rPr>
              <w:t>94%</w:t>
            </w:r>
            <w:r w:rsidR="00085599" w:rsidRPr="00085599">
              <w:rPr>
                <w:rFonts w:ascii="Verdana" w:hAnsi="Verdana"/>
              </w:rPr>
              <w:t xml:space="preserve"> of students consider themselves safe at College (December 2020 QDP), and 96% safe in </w:t>
            </w:r>
            <w:r w:rsidR="00085599">
              <w:rPr>
                <w:rFonts w:ascii="Verdana" w:hAnsi="Verdana"/>
              </w:rPr>
              <w:t>the College’s</w:t>
            </w:r>
            <w:r w:rsidR="00085599" w:rsidRPr="00085599">
              <w:rPr>
                <w:rFonts w:ascii="Verdana" w:hAnsi="Verdana"/>
              </w:rPr>
              <w:t xml:space="preserve"> online environment (June 2020 QDP): this continues a strong trend of improvement from 74% in February 2016 and 88% over the last two years. </w:t>
            </w:r>
            <w:r w:rsidR="00085599">
              <w:rPr>
                <w:rFonts w:ascii="Verdana" w:hAnsi="Verdana"/>
              </w:rPr>
              <w:t xml:space="preserve"> </w:t>
            </w:r>
            <w:r w:rsidR="00085599" w:rsidRPr="00085599">
              <w:rPr>
                <w:rFonts w:ascii="Verdana" w:hAnsi="Verdana"/>
              </w:rPr>
              <w:t>This also compares favourably with students across London schools, where the figure is 84%.</w:t>
            </w:r>
            <w:r w:rsidR="00085599">
              <w:rPr>
                <w:rFonts w:ascii="Verdana" w:hAnsi="Verdana"/>
              </w:rPr>
              <w:t xml:space="preserve"> </w:t>
            </w:r>
            <w:r w:rsidR="00085599" w:rsidRPr="00085599">
              <w:rPr>
                <w:rFonts w:ascii="Verdana" w:hAnsi="Verdana"/>
              </w:rPr>
              <w:t xml:space="preserve"> </w:t>
            </w:r>
            <w:r w:rsidR="00085599">
              <w:rPr>
                <w:rFonts w:ascii="Verdana" w:hAnsi="Verdana"/>
              </w:rPr>
              <w:t>It is thought that</w:t>
            </w:r>
            <w:r w:rsidR="00085599" w:rsidRPr="00085599">
              <w:rPr>
                <w:rFonts w:ascii="Verdana" w:hAnsi="Verdana"/>
              </w:rPr>
              <w:t xml:space="preserve"> the remaining 6% of students feel unsafe </w:t>
            </w:r>
            <w:r w:rsidR="00085599">
              <w:rPr>
                <w:rFonts w:ascii="Verdana" w:hAnsi="Verdana"/>
              </w:rPr>
              <w:t>owing</w:t>
            </w:r>
            <w:r w:rsidR="00085599" w:rsidRPr="00085599">
              <w:rPr>
                <w:rFonts w:ascii="Verdana" w:hAnsi="Verdana"/>
              </w:rPr>
              <w:t xml:space="preserve"> to perceptions around gangs and yout</w:t>
            </w:r>
            <w:r w:rsidR="00085599">
              <w:rPr>
                <w:rFonts w:ascii="Verdana" w:hAnsi="Verdana"/>
              </w:rPr>
              <w:t>h violence.</w:t>
            </w:r>
          </w:p>
          <w:p w14:paraId="3FEAD20C" w14:textId="77777777" w:rsidR="00085599" w:rsidRDefault="00085599" w:rsidP="00085599">
            <w:pPr>
              <w:pStyle w:val="NoSpacing"/>
              <w:rPr>
                <w:rFonts w:ascii="Verdana" w:hAnsi="Verdana"/>
              </w:rPr>
            </w:pPr>
          </w:p>
          <w:p w14:paraId="2E88E39D" w14:textId="1313AE57" w:rsidR="00085599" w:rsidRPr="00085599" w:rsidRDefault="00085599" w:rsidP="00085599">
            <w:pPr>
              <w:pStyle w:val="NoSpacing"/>
              <w:rPr>
                <w:rFonts w:ascii="Verdana" w:hAnsi="Verdana"/>
              </w:rPr>
            </w:pPr>
            <w:r w:rsidRPr="00A015C2">
              <w:rPr>
                <w:rFonts w:ascii="Verdana" w:hAnsi="Verdana"/>
                <w:b/>
                <w:bCs/>
              </w:rPr>
              <w:t>Leadership and Management</w:t>
            </w:r>
            <w:r w:rsidRPr="00085599">
              <w:rPr>
                <w:rFonts w:ascii="Verdana" w:hAnsi="Verdana"/>
              </w:rPr>
              <w:t xml:space="preserve"> were assessed as </w:t>
            </w:r>
            <w:r w:rsidRPr="00A015C2">
              <w:rPr>
                <w:rFonts w:ascii="Verdana" w:hAnsi="Verdana"/>
                <w:b/>
                <w:bCs/>
              </w:rPr>
              <w:t>Good</w:t>
            </w:r>
            <w:r w:rsidRPr="00085599">
              <w:rPr>
                <w:rFonts w:ascii="Verdana" w:hAnsi="Verdana"/>
              </w:rPr>
              <w:t>, with the following rationale:</w:t>
            </w:r>
          </w:p>
          <w:p w14:paraId="1C5DDBE7" w14:textId="77777777" w:rsidR="00085599" w:rsidRPr="00085599" w:rsidRDefault="00085599" w:rsidP="00085599">
            <w:pPr>
              <w:pStyle w:val="NoSpacing"/>
              <w:rPr>
                <w:rFonts w:ascii="Verdana" w:hAnsi="Verdana"/>
              </w:rPr>
            </w:pPr>
          </w:p>
          <w:p w14:paraId="3FB39DF6" w14:textId="77777777" w:rsidR="00085599" w:rsidRDefault="00085599" w:rsidP="00085599">
            <w:pPr>
              <w:pStyle w:val="NoSpacing"/>
              <w:rPr>
                <w:rFonts w:ascii="Verdana" w:hAnsi="Verdana"/>
                <w:i/>
                <w:iCs/>
              </w:rPr>
            </w:pPr>
            <w:r w:rsidRPr="00A015C2">
              <w:rPr>
                <w:rFonts w:ascii="Verdana" w:hAnsi="Verdana"/>
                <w:i/>
                <w:iCs/>
              </w:rPr>
              <w:t xml:space="preserve">Leadership and management </w:t>
            </w:r>
            <w:r w:rsidR="00A015C2">
              <w:rPr>
                <w:rFonts w:ascii="Verdana" w:hAnsi="Verdana"/>
                <w:i/>
                <w:iCs/>
              </w:rPr>
              <w:t>are</w:t>
            </w:r>
            <w:r w:rsidRPr="00A015C2">
              <w:rPr>
                <w:rFonts w:ascii="Verdana" w:hAnsi="Verdana"/>
                <w:i/>
                <w:iCs/>
              </w:rPr>
              <w:t xml:space="preserve"> good because expectations have been progressively raised across all aspects of college life with the result that students are committed to their learning and the great majority of teachers are ambitious in the classroom. </w:t>
            </w:r>
            <w:r w:rsidR="00A015C2">
              <w:rPr>
                <w:rFonts w:ascii="Verdana" w:hAnsi="Verdana"/>
                <w:i/>
                <w:iCs/>
              </w:rPr>
              <w:t xml:space="preserve"> </w:t>
            </w:r>
            <w:r w:rsidRPr="00A015C2">
              <w:rPr>
                <w:rFonts w:ascii="Verdana" w:hAnsi="Verdana"/>
                <w:i/>
                <w:iCs/>
              </w:rPr>
              <w:t>Leaders have established a culture in which good behaviour and self-discipline are the norm.</w:t>
            </w:r>
          </w:p>
          <w:p w14:paraId="211AAD76" w14:textId="77777777" w:rsidR="00A015C2" w:rsidRDefault="00A015C2" w:rsidP="00085599">
            <w:pPr>
              <w:pStyle w:val="NoSpacing"/>
              <w:rPr>
                <w:rFonts w:ascii="Verdana" w:hAnsi="Verdana"/>
                <w:i/>
                <w:iCs/>
              </w:rPr>
            </w:pPr>
          </w:p>
          <w:p w14:paraId="6AD261BA" w14:textId="6B1E8C73" w:rsidR="00A015C2" w:rsidRDefault="00546181" w:rsidP="00085599">
            <w:pPr>
              <w:pStyle w:val="NoSpacing"/>
              <w:rPr>
                <w:rFonts w:ascii="Verdana" w:hAnsi="Verdana"/>
              </w:rPr>
            </w:pPr>
            <w:r>
              <w:rPr>
                <w:rFonts w:ascii="Verdana" w:hAnsi="Verdana"/>
              </w:rPr>
              <w:t xml:space="preserve">The Report was welcomed as a thorough self-analysis of a difficult year, open and honest about the challenges faced and the extent to which they had been </w:t>
            </w:r>
            <w:r w:rsidR="00164633">
              <w:rPr>
                <w:rFonts w:ascii="Verdana" w:hAnsi="Verdana"/>
              </w:rPr>
              <w:t xml:space="preserve">successfully </w:t>
            </w:r>
            <w:r>
              <w:rPr>
                <w:rFonts w:ascii="Verdana" w:hAnsi="Verdana"/>
              </w:rPr>
              <w:t>addressed.</w:t>
            </w:r>
          </w:p>
          <w:p w14:paraId="1F10C962" w14:textId="620A73B0" w:rsidR="00546181" w:rsidRDefault="00546181" w:rsidP="00085599">
            <w:pPr>
              <w:pStyle w:val="NoSpacing"/>
              <w:rPr>
                <w:rFonts w:ascii="Verdana" w:hAnsi="Verdana"/>
              </w:rPr>
            </w:pPr>
          </w:p>
          <w:p w14:paraId="460524E4" w14:textId="0071C6DD" w:rsidR="00546181" w:rsidRDefault="00546181" w:rsidP="00085599">
            <w:pPr>
              <w:pStyle w:val="NoSpacing"/>
              <w:rPr>
                <w:rFonts w:ascii="Verdana" w:hAnsi="Verdana"/>
              </w:rPr>
            </w:pPr>
            <w:r>
              <w:rPr>
                <w:rFonts w:ascii="Verdana" w:hAnsi="Verdana"/>
              </w:rPr>
              <w:t xml:space="preserve">In response to a question from Stephen Jones regarding those pathways assessed as still requiring improvement, confidence was expressed by the College management that, if they were not already achieving Good performance, they would do so by the academic year-end as a result of </w:t>
            </w:r>
            <w:r w:rsidR="00164633">
              <w:rPr>
                <w:rFonts w:ascii="Verdana" w:hAnsi="Verdana"/>
              </w:rPr>
              <w:t xml:space="preserve">targeted initiatives under </w:t>
            </w:r>
            <w:r>
              <w:rPr>
                <w:rFonts w:ascii="Verdana" w:hAnsi="Verdana"/>
              </w:rPr>
              <w:t>new leadership.</w:t>
            </w:r>
          </w:p>
          <w:p w14:paraId="3E91C874" w14:textId="79C3F07D" w:rsidR="00546181" w:rsidRDefault="00546181" w:rsidP="00085599">
            <w:pPr>
              <w:pStyle w:val="NoSpacing"/>
              <w:rPr>
                <w:rFonts w:ascii="Verdana" w:hAnsi="Verdana"/>
              </w:rPr>
            </w:pPr>
          </w:p>
          <w:p w14:paraId="6CEDF041" w14:textId="31708CD6" w:rsidR="00546181" w:rsidRDefault="00546181" w:rsidP="00085599">
            <w:pPr>
              <w:pStyle w:val="NoSpacing"/>
              <w:rPr>
                <w:rFonts w:ascii="Verdana" w:hAnsi="Verdana"/>
              </w:rPr>
            </w:pPr>
            <w:r>
              <w:rPr>
                <w:rFonts w:ascii="Verdana" w:hAnsi="Verdana"/>
              </w:rPr>
              <w:t xml:space="preserve">In response to a question from Jagdev Kenth regarding the degree of viability attending work experience placements, which are overseen in detail by the External Relations Committee, it was reported that, although the demand for them is likely to always outstrip their supply, existing links are reasonably secure and new employers had been engaging with the process </w:t>
            </w:r>
            <w:r w:rsidR="00164633">
              <w:rPr>
                <w:rFonts w:ascii="Verdana" w:hAnsi="Verdana"/>
              </w:rPr>
              <w:t>during</w:t>
            </w:r>
            <w:r>
              <w:rPr>
                <w:rFonts w:ascii="Verdana" w:hAnsi="Verdana"/>
              </w:rPr>
              <w:t xml:space="preserve"> the current year in the context of the College’s improv</w:t>
            </w:r>
            <w:r w:rsidR="00164633">
              <w:rPr>
                <w:rFonts w:ascii="Verdana" w:hAnsi="Verdana"/>
              </w:rPr>
              <w:t>ed</w:t>
            </w:r>
            <w:r>
              <w:rPr>
                <w:rFonts w:ascii="Verdana" w:hAnsi="Verdana"/>
              </w:rPr>
              <w:t xml:space="preserve"> reputation.  It was acknowledged, however, that </w:t>
            </w:r>
            <w:r w:rsidR="003E7FFA">
              <w:rPr>
                <w:rFonts w:ascii="Verdana" w:hAnsi="Verdana"/>
              </w:rPr>
              <w:t xml:space="preserve">meaningful activities cannot realistically re-start until the public health emergency is </w:t>
            </w:r>
            <w:r w:rsidR="00164633">
              <w:rPr>
                <w:rFonts w:ascii="Verdana" w:hAnsi="Verdana"/>
              </w:rPr>
              <w:t>abat</w:t>
            </w:r>
            <w:r w:rsidR="003E7FFA">
              <w:rPr>
                <w:rFonts w:ascii="Verdana" w:hAnsi="Verdana"/>
              </w:rPr>
              <w:t>ed.</w:t>
            </w:r>
          </w:p>
          <w:p w14:paraId="58402B23" w14:textId="30C3B322" w:rsidR="005527E6" w:rsidRDefault="005527E6" w:rsidP="00085599">
            <w:pPr>
              <w:pStyle w:val="NoSpacing"/>
              <w:rPr>
                <w:rFonts w:ascii="Verdana" w:hAnsi="Verdana"/>
              </w:rPr>
            </w:pPr>
          </w:p>
          <w:p w14:paraId="5EBBFBE3" w14:textId="3A5A573F" w:rsidR="005527E6" w:rsidRDefault="005527E6" w:rsidP="00085599">
            <w:pPr>
              <w:pStyle w:val="NoSpacing"/>
              <w:rPr>
                <w:rFonts w:ascii="Verdana" w:hAnsi="Verdana"/>
              </w:rPr>
            </w:pPr>
            <w:r>
              <w:rPr>
                <w:rFonts w:ascii="Verdana" w:hAnsi="Verdana"/>
              </w:rPr>
              <w:t xml:space="preserve">In response to a question from the Committee Chair, it was confirmed that there is now little difference between </w:t>
            </w:r>
            <w:r w:rsidR="00164633">
              <w:rPr>
                <w:rFonts w:ascii="Verdana" w:hAnsi="Verdana"/>
              </w:rPr>
              <w:t xml:space="preserve">the </w:t>
            </w:r>
            <w:r>
              <w:rPr>
                <w:rFonts w:ascii="Verdana" w:hAnsi="Verdana"/>
              </w:rPr>
              <w:t xml:space="preserve">attainment </w:t>
            </w:r>
            <w:r w:rsidR="00164633">
              <w:rPr>
                <w:rFonts w:ascii="Verdana" w:hAnsi="Verdana"/>
              </w:rPr>
              <w:t>of</w:t>
            </w:r>
            <w:r>
              <w:rPr>
                <w:rFonts w:ascii="Verdana" w:hAnsi="Verdana"/>
              </w:rPr>
              <w:t xml:space="preserve"> male and female students, </w:t>
            </w:r>
            <w:r>
              <w:rPr>
                <w:rFonts w:ascii="Verdana" w:hAnsi="Verdana"/>
              </w:rPr>
              <w:lastRenderedPageBreak/>
              <w:t>with the former having improved.  The preponderance of women students reflects the nature of the courses which the College is presently able to offer.  For example</w:t>
            </w:r>
            <w:r w:rsidR="00164633">
              <w:rPr>
                <w:rFonts w:ascii="Verdana" w:hAnsi="Verdana"/>
              </w:rPr>
              <w:t>,</w:t>
            </w:r>
            <w:r>
              <w:rPr>
                <w:rFonts w:ascii="Verdana" w:hAnsi="Verdana"/>
              </w:rPr>
              <w:t xml:space="preserve"> there is a large Health and Social Care provision to which female students are disproportionately attracted.</w:t>
            </w:r>
          </w:p>
          <w:p w14:paraId="10098D52" w14:textId="597F2C39" w:rsidR="005527E6" w:rsidRDefault="005527E6" w:rsidP="00085599">
            <w:pPr>
              <w:pStyle w:val="NoSpacing"/>
              <w:rPr>
                <w:rFonts w:ascii="Verdana" w:hAnsi="Verdana"/>
              </w:rPr>
            </w:pPr>
          </w:p>
          <w:p w14:paraId="7ED071B3" w14:textId="4B9D7BCD" w:rsidR="005527E6" w:rsidRDefault="005527E6" w:rsidP="00085599">
            <w:pPr>
              <w:pStyle w:val="NoSpacing"/>
              <w:rPr>
                <w:rFonts w:ascii="Verdana" w:hAnsi="Verdana"/>
              </w:rPr>
            </w:pPr>
            <w:r>
              <w:rPr>
                <w:rFonts w:ascii="Verdana" w:hAnsi="Verdana"/>
              </w:rPr>
              <w:t>In relation to attainment by gender</w:t>
            </w:r>
            <w:r w:rsidR="00164633">
              <w:rPr>
                <w:rFonts w:ascii="Verdana" w:hAnsi="Verdana"/>
              </w:rPr>
              <w:t>,</w:t>
            </w:r>
            <w:r>
              <w:rPr>
                <w:rFonts w:ascii="Verdana" w:hAnsi="Verdana"/>
              </w:rPr>
              <w:t xml:space="preserve"> it was observed that the 2019-20 year, which had lacked the normal discipline of external examinations, may of itself be an unreliable guide to future trends whether with regard to gender or ethnicity, a better guide to the health of the College’s learning environment being </w:t>
            </w:r>
            <w:r w:rsidR="00164633">
              <w:rPr>
                <w:rFonts w:ascii="Verdana" w:hAnsi="Verdana"/>
              </w:rPr>
              <w:t>provided for the present by</w:t>
            </w:r>
            <w:r>
              <w:rPr>
                <w:rFonts w:ascii="Verdana" w:hAnsi="Verdana"/>
              </w:rPr>
              <w:t xml:space="preserve"> factors such as retention, which had improved irrespective of student backgrounds</w:t>
            </w:r>
            <w:r w:rsidR="006A0DE5">
              <w:rPr>
                <w:rFonts w:ascii="Verdana" w:hAnsi="Verdana"/>
              </w:rPr>
              <w:t>, and the generally positive tenor of student feedback by comparison with earlier years.</w:t>
            </w:r>
          </w:p>
          <w:p w14:paraId="2002114B" w14:textId="0A5E4044" w:rsidR="006A0DE5" w:rsidRDefault="006A0DE5" w:rsidP="00085599">
            <w:pPr>
              <w:pStyle w:val="NoSpacing"/>
              <w:rPr>
                <w:rFonts w:ascii="Verdana" w:hAnsi="Verdana"/>
              </w:rPr>
            </w:pPr>
          </w:p>
          <w:p w14:paraId="5CD43842" w14:textId="217AD345" w:rsidR="006A0DE5" w:rsidRDefault="006A0DE5" w:rsidP="00085599">
            <w:pPr>
              <w:pStyle w:val="NoSpacing"/>
              <w:rPr>
                <w:rFonts w:ascii="Verdana" w:hAnsi="Verdana"/>
              </w:rPr>
            </w:pPr>
            <w:r>
              <w:rPr>
                <w:rFonts w:ascii="Verdana" w:hAnsi="Verdana"/>
              </w:rPr>
              <w:t>It was noted that teacher retention had improved, and that teacher feedback about working at the College is generally positive.</w:t>
            </w:r>
          </w:p>
          <w:p w14:paraId="0007C16E" w14:textId="449457C0" w:rsidR="006A0DE5" w:rsidRDefault="006A0DE5" w:rsidP="00085599">
            <w:pPr>
              <w:pStyle w:val="NoSpacing"/>
              <w:rPr>
                <w:rFonts w:ascii="Verdana" w:hAnsi="Verdana"/>
              </w:rPr>
            </w:pPr>
          </w:p>
          <w:p w14:paraId="09F742D6" w14:textId="439D4954" w:rsidR="006A0DE5" w:rsidRDefault="006A0DE5" w:rsidP="00085599">
            <w:pPr>
              <w:pStyle w:val="NoSpacing"/>
              <w:rPr>
                <w:rFonts w:ascii="Verdana" w:hAnsi="Verdana"/>
              </w:rPr>
            </w:pPr>
            <w:r>
              <w:rPr>
                <w:rFonts w:ascii="Verdana" w:hAnsi="Verdana"/>
              </w:rPr>
              <w:t>The Committee Chair noted the ways in which the College provision differs from national reference data.  In part, this reflects where the College’s strengths lie, and also the course preferences of those students who are attracted to the College.  For example, to expand science provision may require new investment in laboratory facilities.</w:t>
            </w:r>
          </w:p>
          <w:p w14:paraId="0412ED91" w14:textId="6530832E" w:rsidR="006A0DE5" w:rsidRDefault="006A0DE5" w:rsidP="00085599">
            <w:pPr>
              <w:pStyle w:val="NoSpacing"/>
              <w:rPr>
                <w:rFonts w:ascii="Verdana" w:hAnsi="Verdana"/>
              </w:rPr>
            </w:pPr>
          </w:p>
          <w:p w14:paraId="11255BB2" w14:textId="00F079F2" w:rsidR="006A0DE5" w:rsidRDefault="006A0DE5" w:rsidP="00085599">
            <w:pPr>
              <w:pStyle w:val="NoSpacing"/>
              <w:rPr>
                <w:rFonts w:ascii="Verdana" w:hAnsi="Verdana"/>
              </w:rPr>
            </w:pPr>
            <w:r>
              <w:rPr>
                <w:rFonts w:ascii="Verdana" w:hAnsi="Verdana"/>
              </w:rPr>
              <w:t xml:space="preserve">It was observed that College leadership is slightly ahead of the overall curve, which reflects the ambition of College leaders, but also the difficulties which </w:t>
            </w:r>
            <w:r w:rsidR="00164633">
              <w:rPr>
                <w:rFonts w:ascii="Verdana" w:hAnsi="Verdana"/>
              </w:rPr>
              <w:t>may be</w:t>
            </w:r>
            <w:r>
              <w:rPr>
                <w:rFonts w:ascii="Verdana" w:hAnsi="Verdana"/>
              </w:rPr>
              <w:t xml:space="preserve"> encountered in realising those ambitions.</w:t>
            </w:r>
          </w:p>
          <w:p w14:paraId="41FEAE58" w14:textId="627346C6" w:rsidR="006A0DE5" w:rsidRDefault="006A0DE5" w:rsidP="00085599">
            <w:pPr>
              <w:pStyle w:val="NoSpacing"/>
              <w:rPr>
                <w:rFonts w:ascii="Verdana" w:hAnsi="Verdana"/>
              </w:rPr>
            </w:pPr>
          </w:p>
          <w:p w14:paraId="1643820F" w14:textId="4505816B" w:rsidR="00FF0749" w:rsidRDefault="006A0DE5" w:rsidP="00085599">
            <w:pPr>
              <w:pStyle w:val="NoSpacing"/>
              <w:rPr>
                <w:rFonts w:ascii="Verdana" w:hAnsi="Verdana"/>
              </w:rPr>
            </w:pPr>
            <w:r>
              <w:rPr>
                <w:rFonts w:ascii="Verdana" w:hAnsi="Verdana"/>
              </w:rPr>
              <w:t xml:space="preserve">A particular priority for the College leadership is to improve “behaviours for learning”, whereby students </w:t>
            </w:r>
            <w:r w:rsidR="00164633">
              <w:rPr>
                <w:rFonts w:ascii="Verdana" w:hAnsi="Verdana"/>
              </w:rPr>
              <w:t>becom</w:t>
            </w:r>
            <w:r w:rsidR="00FF0749">
              <w:rPr>
                <w:rFonts w:ascii="Verdana" w:hAnsi="Verdana"/>
              </w:rPr>
              <w:t>e self-directed to positively</w:t>
            </w:r>
            <w:r>
              <w:rPr>
                <w:rFonts w:ascii="Verdana" w:hAnsi="Verdana"/>
              </w:rPr>
              <w:t xml:space="preserve"> </w:t>
            </w:r>
            <w:r w:rsidR="00FF0749">
              <w:rPr>
                <w:rFonts w:ascii="Verdana" w:hAnsi="Verdana"/>
              </w:rPr>
              <w:t>engage with the opportunities afforded them.</w:t>
            </w:r>
          </w:p>
          <w:p w14:paraId="7A56D14E" w14:textId="77777777" w:rsidR="00FF0749" w:rsidRDefault="00FF0749" w:rsidP="00085599">
            <w:pPr>
              <w:pStyle w:val="NoSpacing"/>
              <w:rPr>
                <w:rFonts w:ascii="Verdana" w:hAnsi="Verdana"/>
              </w:rPr>
            </w:pPr>
          </w:p>
          <w:p w14:paraId="7B6F0DD7" w14:textId="6C82CE9C" w:rsidR="006A0DE5" w:rsidRDefault="00FF0749" w:rsidP="00085599">
            <w:pPr>
              <w:pStyle w:val="NoSpacing"/>
              <w:rPr>
                <w:rFonts w:ascii="Verdana" w:hAnsi="Verdana"/>
              </w:rPr>
            </w:pPr>
            <w:r>
              <w:rPr>
                <w:rFonts w:ascii="Verdana" w:hAnsi="Verdana"/>
              </w:rPr>
              <w:t xml:space="preserve">In reviewing the key performance outcomes for 2019-20, it was noted that centre-assessed grades had </w:t>
            </w:r>
            <w:r w:rsidR="00164633">
              <w:rPr>
                <w:rFonts w:ascii="Verdana" w:hAnsi="Verdana"/>
              </w:rPr>
              <w:t>exemplified</w:t>
            </w:r>
            <w:r>
              <w:rPr>
                <w:rFonts w:ascii="Verdana" w:hAnsi="Verdana"/>
              </w:rPr>
              <w:t xml:space="preserve"> an unusual year and that any conclusions should be mediated through that observation.   The outcomes for 2018-19 might </w:t>
            </w:r>
            <w:r w:rsidR="00164633">
              <w:rPr>
                <w:rFonts w:ascii="Verdana" w:hAnsi="Verdana"/>
              </w:rPr>
              <w:t xml:space="preserve">therefore </w:t>
            </w:r>
            <w:r>
              <w:rPr>
                <w:rFonts w:ascii="Verdana" w:hAnsi="Verdana"/>
              </w:rPr>
              <w:t xml:space="preserve">afford a better, or at least an alternative, baseline for judging </w:t>
            </w:r>
            <w:r w:rsidR="00164633">
              <w:rPr>
                <w:rFonts w:ascii="Verdana" w:hAnsi="Verdana"/>
              </w:rPr>
              <w:t xml:space="preserve">College </w:t>
            </w:r>
            <w:r>
              <w:rPr>
                <w:rFonts w:ascii="Verdana" w:hAnsi="Verdana"/>
              </w:rPr>
              <w:t>performance in 2020-21.</w:t>
            </w:r>
          </w:p>
          <w:p w14:paraId="21FBA6A7" w14:textId="4E352A0C" w:rsidR="00FF0749" w:rsidRDefault="00FF0749" w:rsidP="00085599">
            <w:pPr>
              <w:pStyle w:val="NoSpacing"/>
              <w:rPr>
                <w:rFonts w:ascii="Verdana" w:hAnsi="Verdana"/>
              </w:rPr>
            </w:pPr>
          </w:p>
          <w:p w14:paraId="689AFA97" w14:textId="17860906" w:rsidR="00FF0749" w:rsidRDefault="00FF0749" w:rsidP="00085599">
            <w:pPr>
              <w:pStyle w:val="NoSpacing"/>
              <w:rPr>
                <w:rFonts w:ascii="Verdana" w:hAnsi="Verdana"/>
              </w:rPr>
            </w:pPr>
            <w:r>
              <w:rPr>
                <w:rFonts w:ascii="Verdana" w:hAnsi="Verdana"/>
              </w:rPr>
              <w:t xml:space="preserve">With that in mind, it was noted that </w:t>
            </w:r>
            <w:r w:rsidR="00164633">
              <w:rPr>
                <w:rFonts w:ascii="Verdana" w:hAnsi="Verdana"/>
              </w:rPr>
              <w:t xml:space="preserve">many </w:t>
            </w:r>
            <w:r>
              <w:rPr>
                <w:rFonts w:ascii="Verdana" w:hAnsi="Verdana"/>
              </w:rPr>
              <w:t>targets for 2020-21 had been reduced relative to 2019-20 outcomes, and that 2018-19 outcomes and national benchmarks provide a more realistic context.</w:t>
            </w:r>
          </w:p>
          <w:p w14:paraId="0B7DD9DD" w14:textId="77777777" w:rsidR="00A015C2" w:rsidRDefault="00A015C2" w:rsidP="00085599">
            <w:pPr>
              <w:pStyle w:val="NoSpacing"/>
              <w:rPr>
                <w:rFonts w:ascii="Verdana" w:hAnsi="Verdana"/>
              </w:rPr>
            </w:pPr>
          </w:p>
          <w:p w14:paraId="2DCE5BB8" w14:textId="77777777" w:rsidR="00FF0749" w:rsidRDefault="00FF0749" w:rsidP="00FF0749">
            <w:pPr>
              <w:pStyle w:val="NoSpacing"/>
              <w:rPr>
                <w:rFonts w:ascii="Verdana" w:hAnsi="Verdana"/>
              </w:rPr>
            </w:pPr>
            <w:r>
              <w:rPr>
                <w:rFonts w:ascii="Verdana" w:hAnsi="Verdana"/>
              </w:rPr>
              <w:t>It was however observed that student retention and punctuality had slightly exceeded the target set for the year, though attendance had narrowly missed the target.  Courses rated as better than Grade 3 had also slightly exceeded the target set for the year.</w:t>
            </w:r>
          </w:p>
          <w:p w14:paraId="0F68B210" w14:textId="77777777" w:rsidR="00FF0749" w:rsidRDefault="00FF0749" w:rsidP="00085599">
            <w:pPr>
              <w:pStyle w:val="NoSpacing"/>
              <w:rPr>
                <w:rFonts w:ascii="Verdana" w:hAnsi="Verdana"/>
              </w:rPr>
            </w:pPr>
          </w:p>
          <w:p w14:paraId="3E83BEF1" w14:textId="77777777" w:rsidR="0070615E" w:rsidRPr="0070615E" w:rsidRDefault="0070615E" w:rsidP="0070615E">
            <w:pPr>
              <w:pStyle w:val="NoSpacing"/>
              <w:rPr>
                <w:rFonts w:ascii="Verdana" w:hAnsi="Verdana"/>
              </w:rPr>
            </w:pPr>
            <w:r w:rsidRPr="0070615E">
              <w:rPr>
                <w:rFonts w:ascii="Verdana" w:hAnsi="Verdana"/>
              </w:rPr>
              <w:t>Student perceptions of the quality of teaching and teacher feedback had significantly exceeded the target set for the year.</w:t>
            </w:r>
          </w:p>
          <w:p w14:paraId="5F41070E" w14:textId="77777777" w:rsidR="0070615E" w:rsidRPr="0070615E" w:rsidRDefault="0070615E" w:rsidP="0070615E">
            <w:pPr>
              <w:pStyle w:val="NoSpacing"/>
              <w:rPr>
                <w:rFonts w:ascii="Verdana" w:hAnsi="Verdana"/>
              </w:rPr>
            </w:pPr>
          </w:p>
          <w:p w14:paraId="5CB88651" w14:textId="77777777" w:rsidR="0070615E" w:rsidRPr="0070615E" w:rsidRDefault="0070615E" w:rsidP="0070615E">
            <w:pPr>
              <w:pStyle w:val="NoSpacing"/>
              <w:rPr>
                <w:rFonts w:ascii="Verdana" w:hAnsi="Verdana"/>
              </w:rPr>
            </w:pPr>
            <w:r w:rsidRPr="0070615E">
              <w:rPr>
                <w:rFonts w:ascii="Verdana" w:hAnsi="Verdana"/>
              </w:rPr>
              <w:t>The proposed key performance targets falling within the Committee’s remit set for the 2020-21 year were regarded as appropriately challenging in the context of an anticipated return to normal examinations in the summer of 2021 and, on behalf of the Corporation, were approved by the Committee.</w:t>
            </w:r>
          </w:p>
          <w:p w14:paraId="2E05B049" w14:textId="77777777" w:rsidR="0070615E" w:rsidRPr="0070615E" w:rsidRDefault="0070615E" w:rsidP="0070615E">
            <w:pPr>
              <w:pStyle w:val="NoSpacing"/>
              <w:rPr>
                <w:rFonts w:ascii="Verdana" w:hAnsi="Verdana"/>
              </w:rPr>
            </w:pPr>
          </w:p>
          <w:p w14:paraId="2B48B8B6" w14:textId="77777777" w:rsidR="0070615E" w:rsidRPr="0070615E" w:rsidRDefault="0070615E" w:rsidP="0070615E">
            <w:pPr>
              <w:pStyle w:val="NoSpacing"/>
              <w:rPr>
                <w:rFonts w:ascii="Verdana" w:hAnsi="Verdana"/>
              </w:rPr>
            </w:pPr>
            <w:r w:rsidRPr="0070615E">
              <w:rPr>
                <w:rFonts w:ascii="Verdana" w:hAnsi="Verdana"/>
              </w:rPr>
              <w:t>The Committee recommended that the Corporation approve the College Self-Assessment Report at the meeting to be held on 15 December 2020.</w:t>
            </w:r>
          </w:p>
          <w:p w14:paraId="1FE2EFF1" w14:textId="77777777" w:rsidR="0070615E" w:rsidRPr="0070615E" w:rsidRDefault="0070615E" w:rsidP="0070615E">
            <w:pPr>
              <w:pStyle w:val="NoSpacing"/>
              <w:rPr>
                <w:rFonts w:ascii="Verdana" w:hAnsi="Verdana"/>
              </w:rPr>
            </w:pPr>
          </w:p>
          <w:p w14:paraId="3CF12376" w14:textId="601BB183" w:rsidR="0070615E" w:rsidRPr="00A015C2" w:rsidRDefault="0070615E" w:rsidP="0070615E">
            <w:pPr>
              <w:pStyle w:val="NoSpacing"/>
              <w:rPr>
                <w:rFonts w:ascii="Verdana" w:hAnsi="Verdana"/>
              </w:rPr>
            </w:pPr>
            <w:r w:rsidRPr="0070615E">
              <w:rPr>
                <w:rFonts w:ascii="Verdana" w:hAnsi="Verdana"/>
              </w:rPr>
              <w:t>It was also recommended that the KPIs for 2020-21 be circulated to all members of the Corporation as part of the papers for the meeting to be held on 15 December 2020, with an additional column showing the 2018-19 outcomes.</w:t>
            </w:r>
          </w:p>
        </w:tc>
      </w:tr>
    </w:tbl>
    <w:p w14:paraId="0343A3FE" w14:textId="77777777" w:rsidR="0084389B" w:rsidRDefault="0084389B" w:rsidP="00402468"/>
    <w:tbl>
      <w:tblPr>
        <w:tblW w:w="9747" w:type="dxa"/>
        <w:tblLook w:val="04A0" w:firstRow="1" w:lastRow="0" w:firstColumn="1" w:lastColumn="0" w:noHBand="0" w:noVBand="1"/>
      </w:tblPr>
      <w:tblGrid>
        <w:gridCol w:w="534"/>
        <w:gridCol w:w="9213"/>
      </w:tblGrid>
      <w:tr w:rsidR="00896BAE" w14:paraId="7CEEAE4B" w14:textId="77777777" w:rsidTr="005D0A52">
        <w:tc>
          <w:tcPr>
            <w:tcW w:w="534" w:type="dxa"/>
          </w:tcPr>
          <w:p w14:paraId="0CDE0CA3" w14:textId="2D2CE536" w:rsidR="00896BAE" w:rsidRDefault="00896BAE" w:rsidP="00085599">
            <w:pPr>
              <w:rPr>
                <w:rFonts w:ascii="Verdana" w:hAnsi="Verdana"/>
                <w:b/>
              </w:rPr>
            </w:pPr>
            <w:r>
              <w:rPr>
                <w:rFonts w:ascii="Verdana" w:hAnsi="Verdana"/>
                <w:b/>
              </w:rPr>
              <w:t>7</w:t>
            </w:r>
          </w:p>
        </w:tc>
        <w:tc>
          <w:tcPr>
            <w:tcW w:w="9213" w:type="dxa"/>
          </w:tcPr>
          <w:p w14:paraId="01257D07" w14:textId="176E9FA8" w:rsidR="00896BAE" w:rsidRDefault="00896BAE" w:rsidP="00896BAE">
            <w:pPr>
              <w:rPr>
                <w:rFonts w:ascii="Verdana" w:hAnsi="Verdana"/>
                <w:b/>
              </w:rPr>
            </w:pPr>
            <w:r>
              <w:rPr>
                <w:rFonts w:ascii="Verdana" w:hAnsi="Verdana"/>
                <w:b/>
              </w:rPr>
              <w:t xml:space="preserve">College </w:t>
            </w:r>
            <w:r w:rsidR="00521167">
              <w:rPr>
                <w:rFonts w:ascii="Verdana" w:hAnsi="Verdana"/>
                <w:b/>
              </w:rPr>
              <w:t xml:space="preserve">Improvement and </w:t>
            </w:r>
            <w:r>
              <w:rPr>
                <w:rFonts w:ascii="Verdana" w:hAnsi="Verdana"/>
                <w:b/>
              </w:rPr>
              <w:t>Development Plan</w:t>
            </w:r>
            <w:r w:rsidR="004670C3">
              <w:rPr>
                <w:rFonts w:ascii="Verdana" w:hAnsi="Verdana"/>
                <w:b/>
              </w:rPr>
              <w:t xml:space="preserve"> 2020-21</w:t>
            </w:r>
            <w:r w:rsidR="001E0EB0">
              <w:rPr>
                <w:rFonts w:ascii="Verdana" w:hAnsi="Verdana"/>
                <w:b/>
              </w:rPr>
              <w:t xml:space="preserve"> </w:t>
            </w:r>
          </w:p>
          <w:p w14:paraId="790D1328" w14:textId="77777777" w:rsidR="00896BAE" w:rsidRDefault="00896BAE" w:rsidP="00085599">
            <w:pPr>
              <w:rPr>
                <w:rFonts w:ascii="Verdana" w:hAnsi="Verdana"/>
                <w:b/>
              </w:rPr>
            </w:pPr>
          </w:p>
          <w:p w14:paraId="526E7E07" w14:textId="77777777" w:rsidR="00896BAE" w:rsidRDefault="00896BAE" w:rsidP="00085599">
            <w:pPr>
              <w:rPr>
                <w:rFonts w:ascii="Verdana" w:hAnsi="Verdana"/>
                <w:bCs/>
              </w:rPr>
            </w:pPr>
            <w:r>
              <w:rPr>
                <w:rFonts w:ascii="Verdana" w:hAnsi="Verdana"/>
                <w:bCs/>
              </w:rPr>
              <w:t>The</w:t>
            </w:r>
            <w:r w:rsidRPr="00896BAE">
              <w:rPr>
                <w:rFonts w:ascii="Verdana" w:hAnsi="Verdana"/>
                <w:bCs/>
              </w:rPr>
              <w:t xml:space="preserve"> College Improvement</w:t>
            </w:r>
            <w:r>
              <w:rPr>
                <w:rFonts w:ascii="Verdana" w:hAnsi="Verdana"/>
                <w:bCs/>
              </w:rPr>
              <w:t xml:space="preserve"> and Development Plan updated by the Principal</w:t>
            </w:r>
            <w:r w:rsidRPr="00896BAE">
              <w:rPr>
                <w:rFonts w:ascii="Verdana" w:hAnsi="Verdana"/>
                <w:bCs/>
              </w:rPr>
              <w:t xml:space="preserve"> was received</w:t>
            </w:r>
            <w:r>
              <w:rPr>
                <w:rFonts w:ascii="Verdana" w:hAnsi="Verdana"/>
                <w:bCs/>
              </w:rPr>
              <w:t xml:space="preserve"> and considered.</w:t>
            </w:r>
          </w:p>
          <w:p w14:paraId="4D9A1732" w14:textId="77777777" w:rsidR="00896BAE" w:rsidRDefault="00896BAE" w:rsidP="00085599">
            <w:pPr>
              <w:rPr>
                <w:rFonts w:ascii="Verdana" w:hAnsi="Verdana"/>
                <w:bCs/>
              </w:rPr>
            </w:pPr>
          </w:p>
          <w:p w14:paraId="1CB8E9D1" w14:textId="2C1BAA94" w:rsidR="00896BAE" w:rsidRPr="00896BAE" w:rsidRDefault="00896BAE" w:rsidP="00085599">
            <w:pPr>
              <w:rPr>
                <w:rFonts w:ascii="Verdana" w:hAnsi="Verdana"/>
                <w:bCs/>
              </w:rPr>
            </w:pPr>
            <w:r>
              <w:rPr>
                <w:rFonts w:ascii="Verdana" w:hAnsi="Verdana"/>
                <w:bCs/>
              </w:rPr>
              <w:t>Measures were noted in relation to</w:t>
            </w:r>
            <w:r w:rsidR="004670C3">
              <w:rPr>
                <w:rFonts w:ascii="Verdana" w:hAnsi="Verdana"/>
                <w:bCs/>
              </w:rPr>
              <w:t xml:space="preserve"> four development themes for the College, namely</w:t>
            </w:r>
            <w:r>
              <w:rPr>
                <w:rFonts w:ascii="Verdana" w:hAnsi="Verdana"/>
                <w:bCs/>
              </w:rPr>
              <w:t>:</w:t>
            </w:r>
          </w:p>
        </w:tc>
      </w:tr>
    </w:tbl>
    <w:p w14:paraId="27A9F495" w14:textId="3E18CA40" w:rsidR="00896BAE" w:rsidRDefault="00896BAE" w:rsidP="00402468"/>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
        <w:gridCol w:w="297"/>
        <w:gridCol w:w="8929"/>
      </w:tblGrid>
      <w:tr w:rsidR="00896BAE" w:rsidRPr="008578A5" w14:paraId="7BCDF9A1" w14:textId="77777777" w:rsidTr="005D0A52">
        <w:tc>
          <w:tcPr>
            <w:tcW w:w="521" w:type="dxa"/>
          </w:tcPr>
          <w:p w14:paraId="12182C51" w14:textId="77777777" w:rsidR="00896BAE" w:rsidRPr="004670C3" w:rsidRDefault="00896BAE" w:rsidP="00085599">
            <w:pPr>
              <w:pStyle w:val="NoSpacing"/>
              <w:rPr>
                <w:bCs/>
              </w:rPr>
            </w:pPr>
          </w:p>
        </w:tc>
        <w:tc>
          <w:tcPr>
            <w:tcW w:w="297" w:type="dxa"/>
          </w:tcPr>
          <w:p w14:paraId="4468ECAD" w14:textId="77777777" w:rsidR="00896BAE" w:rsidRPr="005D0A52" w:rsidRDefault="00896BAE" w:rsidP="00085599">
            <w:pPr>
              <w:pStyle w:val="NoSpacing"/>
              <w:rPr>
                <w:b/>
              </w:rPr>
            </w:pPr>
            <w:r w:rsidRPr="005D0A52">
              <w:rPr>
                <w:b/>
              </w:rPr>
              <w:t>.</w:t>
            </w:r>
          </w:p>
        </w:tc>
        <w:tc>
          <w:tcPr>
            <w:tcW w:w="8929" w:type="dxa"/>
          </w:tcPr>
          <w:p w14:paraId="3FEC4695" w14:textId="4B7C32A5" w:rsidR="004670C3" w:rsidRPr="004670C3" w:rsidRDefault="004670C3" w:rsidP="004670C3">
            <w:pPr>
              <w:rPr>
                <w:rFonts w:ascii="Verdana" w:hAnsi="Verdana"/>
                <w:bCs/>
              </w:rPr>
            </w:pPr>
            <w:r w:rsidRPr="004670C3">
              <w:rPr>
                <w:rFonts w:ascii="Verdana" w:hAnsi="Verdana"/>
                <w:bCs/>
              </w:rPr>
              <w:t xml:space="preserve">how students demonstrate engagement with </w:t>
            </w:r>
            <w:r w:rsidR="00211852">
              <w:rPr>
                <w:rFonts w:ascii="Verdana" w:hAnsi="Verdana"/>
                <w:bCs/>
              </w:rPr>
              <w:t>the College’s</w:t>
            </w:r>
            <w:r w:rsidRPr="004670C3">
              <w:rPr>
                <w:rFonts w:ascii="Verdana" w:hAnsi="Verdana"/>
                <w:bCs/>
              </w:rPr>
              <w:t xml:space="preserve"> mission through their values and behaviours;</w:t>
            </w:r>
          </w:p>
          <w:p w14:paraId="084C8D1B" w14:textId="3C6BCA21" w:rsidR="00896BAE" w:rsidRPr="004670C3" w:rsidRDefault="00896BAE" w:rsidP="00085599">
            <w:pPr>
              <w:contextualSpacing/>
              <w:rPr>
                <w:rFonts w:ascii="Verdana" w:hAnsi="Verdana"/>
                <w:bCs/>
              </w:rPr>
            </w:pPr>
          </w:p>
        </w:tc>
      </w:tr>
      <w:tr w:rsidR="00896BAE" w:rsidRPr="00833A20" w14:paraId="0F5085F1" w14:textId="77777777" w:rsidTr="005D0A52">
        <w:tc>
          <w:tcPr>
            <w:tcW w:w="521" w:type="dxa"/>
          </w:tcPr>
          <w:p w14:paraId="27EE97DE" w14:textId="77777777" w:rsidR="00896BAE" w:rsidRPr="004670C3" w:rsidRDefault="00896BAE" w:rsidP="00085599">
            <w:pPr>
              <w:pStyle w:val="NoSpacing"/>
              <w:rPr>
                <w:bCs/>
              </w:rPr>
            </w:pPr>
          </w:p>
        </w:tc>
        <w:tc>
          <w:tcPr>
            <w:tcW w:w="297" w:type="dxa"/>
          </w:tcPr>
          <w:p w14:paraId="0744D53A" w14:textId="77777777" w:rsidR="00896BAE" w:rsidRPr="005D0A52" w:rsidRDefault="00896BAE" w:rsidP="00085599">
            <w:pPr>
              <w:pStyle w:val="NoSpacing"/>
              <w:rPr>
                <w:b/>
              </w:rPr>
            </w:pPr>
            <w:r w:rsidRPr="005D0A52">
              <w:rPr>
                <w:b/>
              </w:rPr>
              <w:t>.</w:t>
            </w:r>
          </w:p>
        </w:tc>
        <w:tc>
          <w:tcPr>
            <w:tcW w:w="8929" w:type="dxa"/>
          </w:tcPr>
          <w:p w14:paraId="7C036459" w14:textId="59F0E48D" w:rsidR="00896BAE" w:rsidRPr="004670C3" w:rsidRDefault="004670C3" w:rsidP="00085599">
            <w:pPr>
              <w:rPr>
                <w:rFonts w:ascii="Verdana" w:hAnsi="Verdana"/>
                <w:bCs/>
              </w:rPr>
            </w:pPr>
            <w:r w:rsidRPr="004670C3">
              <w:rPr>
                <w:rFonts w:ascii="Verdana" w:hAnsi="Verdana"/>
                <w:bCs/>
              </w:rPr>
              <w:t>how teams and individual staff develop skills, make progress and take on challenges;</w:t>
            </w:r>
          </w:p>
          <w:p w14:paraId="76B4C0AC" w14:textId="2083D15B" w:rsidR="004670C3" w:rsidRPr="004670C3" w:rsidRDefault="004670C3" w:rsidP="00085599">
            <w:pPr>
              <w:rPr>
                <w:rFonts w:ascii="Verdana" w:hAnsi="Verdana" w:cs="Arial"/>
                <w:bCs/>
              </w:rPr>
            </w:pPr>
          </w:p>
        </w:tc>
      </w:tr>
      <w:tr w:rsidR="00896BAE" w:rsidRPr="004975FD" w14:paraId="7646FAF8" w14:textId="77777777" w:rsidTr="005D0A52">
        <w:tc>
          <w:tcPr>
            <w:tcW w:w="521" w:type="dxa"/>
          </w:tcPr>
          <w:p w14:paraId="1F2F20FB" w14:textId="77777777" w:rsidR="00896BAE" w:rsidRPr="004670C3" w:rsidRDefault="00896BAE" w:rsidP="00085599">
            <w:pPr>
              <w:pStyle w:val="NoSpacing"/>
              <w:rPr>
                <w:bCs/>
              </w:rPr>
            </w:pPr>
          </w:p>
        </w:tc>
        <w:tc>
          <w:tcPr>
            <w:tcW w:w="297" w:type="dxa"/>
          </w:tcPr>
          <w:p w14:paraId="6E10FA06" w14:textId="77777777" w:rsidR="00896BAE" w:rsidRPr="005D0A52" w:rsidRDefault="00896BAE" w:rsidP="00085599">
            <w:pPr>
              <w:pStyle w:val="NoSpacing"/>
              <w:rPr>
                <w:b/>
              </w:rPr>
            </w:pPr>
            <w:r w:rsidRPr="005D0A52">
              <w:rPr>
                <w:b/>
              </w:rPr>
              <w:t>.</w:t>
            </w:r>
          </w:p>
        </w:tc>
        <w:tc>
          <w:tcPr>
            <w:tcW w:w="8929" w:type="dxa"/>
          </w:tcPr>
          <w:p w14:paraId="2F3B4935" w14:textId="76AFBB3B" w:rsidR="00896BAE" w:rsidRPr="004670C3" w:rsidRDefault="004670C3" w:rsidP="00085599">
            <w:pPr>
              <w:rPr>
                <w:rFonts w:ascii="Verdana" w:hAnsi="Verdana"/>
                <w:bCs/>
                <w:i/>
                <w:iCs/>
              </w:rPr>
            </w:pPr>
            <w:r w:rsidRPr="004670C3">
              <w:rPr>
                <w:rFonts w:ascii="Verdana" w:hAnsi="Verdana"/>
                <w:bCs/>
              </w:rPr>
              <w:t xml:space="preserve">optimal use of all spaces with clear routines: </w:t>
            </w:r>
            <w:r w:rsidRPr="004670C3">
              <w:rPr>
                <w:rFonts w:ascii="Verdana" w:hAnsi="Verdana"/>
                <w:bCs/>
                <w:i/>
                <w:iCs/>
              </w:rPr>
              <w:t>and</w:t>
            </w:r>
          </w:p>
          <w:p w14:paraId="1C54A4E7" w14:textId="671517B4" w:rsidR="004670C3" w:rsidRPr="004670C3" w:rsidRDefault="004670C3" w:rsidP="00085599">
            <w:pPr>
              <w:rPr>
                <w:rFonts w:ascii="Verdana" w:hAnsi="Verdana" w:cs="Arial"/>
                <w:bCs/>
                <w:i/>
                <w:iCs/>
              </w:rPr>
            </w:pPr>
          </w:p>
        </w:tc>
      </w:tr>
      <w:tr w:rsidR="00896BAE" w:rsidRPr="004975FD" w14:paraId="5F205735" w14:textId="77777777" w:rsidTr="005D0A52">
        <w:tc>
          <w:tcPr>
            <w:tcW w:w="521" w:type="dxa"/>
          </w:tcPr>
          <w:p w14:paraId="1C17001F" w14:textId="77777777" w:rsidR="00896BAE" w:rsidRPr="004670C3" w:rsidRDefault="00896BAE" w:rsidP="00085599">
            <w:pPr>
              <w:pStyle w:val="NoSpacing"/>
              <w:rPr>
                <w:bCs/>
              </w:rPr>
            </w:pPr>
          </w:p>
        </w:tc>
        <w:tc>
          <w:tcPr>
            <w:tcW w:w="297" w:type="dxa"/>
          </w:tcPr>
          <w:p w14:paraId="396C5AD6" w14:textId="77777777" w:rsidR="00896BAE" w:rsidRPr="005D0A52" w:rsidRDefault="00896BAE" w:rsidP="00085599">
            <w:pPr>
              <w:pStyle w:val="NoSpacing"/>
              <w:rPr>
                <w:b/>
              </w:rPr>
            </w:pPr>
            <w:r w:rsidRPr="005D0A52">
              <w:rPr>
                <w:b/>
              </w:rPr>
              <w:t>.</w:t>
            </w:r>
          </w:p>
        </w:tc>
        <w:tc>
          <w:tcPr>
            <w:tcW w:w="8929" w:type="dxa"/>
          </w:tcPr>
          <w:p w14:paraId="0CE598B7" w14:textId="0856B686" w:rsidR="00896BAE" w:rsidRPr="004670C3" w:rsidRDefault="004670C3" w:rsidP="00085599">
            <w:pPr>
              <w:rPr>
                <w:rFonts w:ascii="Verdana" w:hAnsi="Verdana" w:cs="Arial"/>
                <w:bCs/>
                <w:i/>
                <w:iCs/>
              </w:rPr>
            </w:pPr>
            <w:r w:rsidRPr="004670C3">
              <w:rPr>
                <w:rFonts w:ascii="Verdana" w:hAnsi="Verdana"/>
                <w:bCs/>
              </w:rPr>
              <w:t>enrolment of 1820 students through marketing and liaison that responds successfully to the challenges of Covid19</w:t>
            </w:r>
            <w:r>
              <w:rPr>
                <w:rFonts w:ascii="Verdana" w:hAnsi="Verdana"/>
                <w:bCs/>
              </w:rPr>
              <w:t>.</w:t>
            </w:r>
          </w:p>
        </w:tc>
      </w:tr>
    </w:tbl>
    <w:p w14:paraId="21F38C3D" w14:textId="2F1A82C9" w:rsidR="00896BAE" w:rsidRDefault="00896BAE" w:rsidP="00402468"/>
    <w:tbl>
      <w:tblPr>
        <w:tblW w:w="9747" w:type="dxa"/>
        <w:tblLook w:val="04A0" w:firstRow="1" w:lastRow="0" w:firstColumn="1" w:lastColumn="0" w:noHBand="0" w:noVBand="1"/>
      </w:tblPr>
      <w:tblGrid>
        <w:gridCol w:w="534"/>
        <w:gridCol w:w="9213"/>
      </w:tblGrid>
      <w:tr w:rsidR="00144E96" w:rsidRPr="008E515B" w14:paraId="6CD62633" w14:textId="77777777" w:rsidTr="005D0A52">
        <w:tc>
          <w:tcPr>
            <w:tcW w:w="534" w:type="dxa"/>
          </w:tcPr>
          <w:p w14:paraId="0122C67D" w14:textId="77777777" w:rsidR="00144E96" w:rsidRPr="008E515B" w:rsidRDefault="00144E96" w:rsidP="00085599">
            <w:pPr>
              <w:rPr>
                <w:rFonts w:ascii="Verdana" w:hAnsi="Verdana"/>
                <w:b/>
              </w:rPr>
            </w:pPr>
          </w:p>
        </w:tc>
        <w:tc>
          <w:tcPr>
            <w:tcW w:w="9213" w:type="dxa"/>
          </w:tcPr>
          <w:p w14:paraId="189620C7" w14:textId="77777777" w:rsidR="00144E96" w:rsidRDefault="00211852" w:rsidP="00085599">
            <w:pPr>
              <w:pStyle w:val="NoSpacing"/>
              <w:rPr>
                <w:rFonts w:ascii="Verdana" w:hAnsi="Verdana"/>
              </w:rPr>
            </w:pPr>
            <w:r>
              <w:rPr>
                <w:rFonts w:ascii="Verdana" w:hAnsi="Verdana"/>
              </w:rPr>
              <w:t>It was noted that the Plan no longer has a post-inspection, remedial emphasis, but is focused on promoting visible elements of outstanding practice.  It had also been re-designed to reflect more adequately the new inspection criteria.</w:t>
            </w:r>
          </w:p>
          <w:p w14:paraId="4FF044AC" w14:textId="77777777" w:rsidR="00211852" w:rsidRDefault="00211852" w:rsidP="00085599">
            <w:pPr>
              <w:pStyle w:val="NoSpacing"/>
              <w:rPr>
                <w:rFonts w:ascii="Verdana" w:hAnsi="Verdana"/>
              </w:rPr>
            </w:pPr>
          </w:p>
          <w:p w14:paraId="08A0A0C3" w14:textId="12345B09" w:rsidR="00211852" w:rsidRDefault="00211852" w:rsidP="00085599">
            <w:pPr>
              <w:pStyle w:val="NoSpacing"/>
              <w:rPr>
                <w:rFonts w:ascii="Verdana" w:hAnsi="Verdana"/>
              </w:rPr>
            </w:pPr>
            <w:r>
              <w:rPr>
                <w:rFonts w:ascii="Verdana" w:hAnsi="Verdana"/>
              </w:rPr>
              <w:t xml:space="preserve">The column, reiterated across all sections of the Plan, “What will this look like when fully effective”, </w:t>
            </w:r>
            <w:r w:rsidR="0070615E">
              <w:rPr>
                <w:rFonts w:ascii="Verdana" w:hAnsi="Verdana"/>
              </w:rPr>
              <w:t xml:space="preserve">was observed to include measurable data linked to KPIs where appropriate, as well as providing a </w:t>
            </w:r>
            <w:r w:rsidR="0062605F">
              <w:rPr>
                <w:rFonts w:ascii="Verdana" w:hAnsi="Verdana"/>
              </w:rPr>
              <w:t xml:space="preserve">robust </w:t>
            </w:r>
            <w:r w:rsidR="0070615E">
              <w:rPr>
                <w:rFonts w:ascii="Verdana" w:hAnsi="Verdana"/>
              </w:rPr>
              <w:t>template by which to judge the success of the measures implemented.</w:t>
            </w:r>
          </w:p>
          <w:p w14:paraId="70DB171A" w14:textId="77777777" w:rsidR="0070615E" w:rsidRDefault="0070615E" w:rsidP="00085599">
            <w:pPr>
              <w:pStyle w:val="NoSpacing"/>
              <w:rPr>
                <w:rFonts w:ascii="Verdana" w:hAnsi="Verdana"/>
              </w:rPr>
            </w:pPr>
          </w:p>
          <w:p w14:paraId="7C00F559" w14:textId="0128719E" w:rsidR="0070615E" w:rsidRDefault="0070615E" w:rsidP="00085599">
            <w:pPr>
              <w:pStyle w:val="NoSpacing"/>
              <w:rPr>
                <w:rFonts w:ascii="Verdana" w:hAnsi="Verdana"/>
              </w:rPr>
            </w:pPr>
            <w:r>
              <w:rPr>
                <w:rFonts w:ascii="Verdana" w:hAnsi="Verdana"/>
              </w:rPr>
              <w:t>It was recognised that the current restrictions imposed by the public health emergency would act as a restraint on aspects of the Plan in the short term.</w:t>
            </w:r>
          </w:p>
          <w:p w14:paraId="3726AAF7" w14:textId="77777777" w:rsidR="0070615E" w:rsidRDefault="0070615E" w:rsidP="00085599">
            <w:pPr>
              <w:pStyle w:val="NoSpacing"/>
              <w:rPr>
                <w:rFonts w:ascii="Verdana" w:hAnsi="Verdana"/>
              </w:rPr>
            </w:pPr>
          </w:p>
          <w:p w14:paraId="2E256D12" w14:textId="3C97839E" w:rsidR="0070615E" w:rsidRPr="008E515B" w:rsidRDefault="0070615E" w:rsidP="00085599">
            <w:pPr>
              <w:pStyle w:val="NoSpacing"/>
              <w:rPr>
                <w:rFonts w:ascii="Verdana" w:hAnsi="Verdana"/>
              </w:rPr>
            </w:pPr>
            <w:r>
              <w:rPr>
                <w:rFonts w:ascii="Verdana" w:hAnsi="Verdana"/>
              </w:rPr>
              <w:t>The future role of online learning was discussed, and it was agreed that, where this is apt and pedagogically desirable, quality virtual spaces need to be created under appropriate supervision.  It was stated that the next iteration of the Strategic Plan would address the issue.</w:t>
            </w:r>
          </w:p>
        </w:tc>
      </w:tr>
    </w:tbl>
    <w:p w14:paraId="7031997A" w14:textId="21AAD1D5" w:rsidR="0070615E" w:rsidRDefault="0070615E" w:rsidP="00402468"/>
    <w:p w14:paraId="3140A27C" w14:textId="17A63B2D" w:rsidR="0062605F" w:rsidRDefault="0062605F" w:rsidP="00402468"/>
    <w:p w14:paraId="5F38F5CD" w14:textId="273AAC1D" w:rsidR="0062605F" w:rsidRDefault="0062605F" w:rsidP="00402468"/>
    <w:p w14:paraId="10E9AAEE" w14:textId="6F4F307E" w:rsidR="0062605F" w:rsidRDefault="0062605F" w:rsidP="00402468"/>
    <w:p w14:paraId="4C044F47" w14:textId="5C623A39" w:rsidR="0062605F" w:rsidRDefault="0062605F" w:rsidP="00402468"/>
    <w:p w14:paraId="3F6077F8" w14:textId="72E74812" w:rsidR="0062605F" w:rsidRDefault="0062605F" w:rsidP="00402468"/>
    <w:p w14:paraId="2DC4D8B8" w14:textId="73BAE02F" w:rsidR="0062605F" w:rsidRDefault="0062605F" w:rsidP="00402468"/>
    <w:p w14:paraId="63376701" w14:textId="2B00EE72" w:rsidR="0062605F" w:rsidRDefault="0062605F" w:rsidP="00402468"/>
    <w:p w14:paraId="5DC8682C" w14:textId="77777777" w:rsidR="005D0A52" w:rsidRDefault="005D0A52" w:rsidP="00402468"/>
    <w:tbl>
      <w:tblPr>
        <w:tblW w:w="9747" w:type="dxa"/>
        <w:tblLook w:val="04A0" w:firstRow="1" w:lastRow="0" w:firstColumn="1" w:lastColumn="0" w:noHBand="0" w:noVBand="1"/>
      </w:tblPr>
      <w:tblGrid>
        <w:gridCol w:w="529"/>
        <w:gridCol w:w="9218"/>
      </w:tblGrid>
      <w:tr w:rsidR="00144E96" w:rsidRPr="00773A1E" w14:paraId="775EC0DF" w14:textId="77777777" w:rsidTr="005D0A52">
        <w:tc>
          <w:tcPr>
            <w:tcW w:w="529" w:type="dxa"/>
          </w:tcPr>
          <w:p w14:paraId="60AC78F0" w14:textId="77777777" w:rsidR="00144E96" w:rsidRDefault="00144E96" w:rsidP="00085599">
            <w:pPr>
              <w:rPr>
                <w:rFonts w:ascii="Verdana" w:hAnsi="Verdana"/>
                <w:b/>
              </w:rPr>
            </w:pPr>
            <w:r>
              <w:rPr>
                <w:rFonts w:ascii="Verdana" w:hAnsi="Verdana"/>
                <w:b/>
              </w:rPr>
              <w:lastRenderedPageBreak/>
              <w:t>8</w:t>
            </w:r>
          </w:p>
        </w:tc>
        <w:tc>
          <w:tcPr>
            <w:tcW w:w="9218" w:type="dxa"/>
          </w:tcPr>
          <w:p w14:paraId="53A86FB2" w14:textId="6B4D41FE" w:rsidR="00144E96" w:rsidRDefault="00144E96" w:rsidP="00085599">
            <w:pPr>
              <w:rPr>
                <w:rFonts w:ascii="Verdana" w:hAnsi="Verdana"/>
                <w:b/>
              </w:rPr>
            </w:pPr>
            <w:r>
              <w:rPr>
                <w:rFonts w:ascii="Verdana" w:hAnsi="Verdana"/>
                <w:b/>
              </w:rPr>
              <w:t xml:space="preserve">Dates and Times of Remaining Meetings </w:t>
            </w:r>
            <w:r w:rsidR="004670C3">
              <w:rPr>
                <w:rFonts w:ascii="Verdana" w:hAnsi="Verdana"/>
                <w:b/>
              </w:rPr>
              <w:t>2020-21</w:t>
            </w:r>
          </w:p>
          <w:p w14:paraId="7FD1D7B4" w14:textId="77777777" w:rsidR="00144E96" w:rsidRDefault="00144E96" w:rsidP="00085599">
            <w:pPr>
              <w:rPr>
                <w:rFonts w:ascii="Verdana" w:hAnsi="Verdana"/>
                <w:b/>
              </w:rPr>
            </w:pPr>
          </w:p>
          <w:p w14:paraId="032ABB4C" w14:textId="77777777" w:rsidR="004670C3" w:rsidRDefault="004670C3" w:rsidP="004670C3">
            <w:pPr>
              <w:rPr>
                <w:rFonts w:ascii="Verdana" w:hAnsi="Verdana"/>
              </w:rPr>
            </w:pPr>
            <w:r>
              <w:rPr>
                <w:rFonts w:ascii="Verdana" w:hAnsi="Verdana"/>
              </w:rPr>
              <w:t>The approved dates and times of meetings of the Committee were noted, as shown below:</w:t>
            </w:r>
          </w:p>
          <w:p w14:paraId="14D1A2F0" w14:textId="77777777" w:rsidR="00144E96" w:rsidRDefault="00144E96" w:rsidP="00085599">
            <w:pPr>
              <w:rPr>
                <w:rFonts w:ascii="Verdana" w:hAnsi="Verdana"/>
                <w:b/>
                <w:i/>
              </w:rPr>
            </w:pPr>
          </w:p>
          <w:p w14:paraId="1E8249FA" w14:textId="77777777" w:rsidR="004670C3" w:rsidRPr="004670C3" w:rsidRDefault="004670C3" w:rsidP="004670C3">
            <w:pPr>
              <w:pStyle w:val="NoSpacing"/>
              <w:rPr>
                <w:rFonts w:ascii="Verdana" w:hAnsi="Verdana"/>
                <w:b/>
                <w:bCs/>
                <w:i/>
                <w:iCs/>
              </w:rPr>
            </w:pPr>
            <w:r w:rsidRPr="004670C3">
              <w:rPr>
                <w:rFonts w:ascii="Verdana" w:hAnsi="Verdana"/>
                <w:b/>
                <w:bCs/>
                <w:i/>
                <w:iCs/>
              </w:rPr>
              <w:t>Tuesday 9 February 2021 (6.30pm)</w:t>
            </w:r>
          </w:p>
          <w:p w14:paraId="075CCD1F" w14:textId="77777777" w:rsidR="004670C3" w:rsidRPr="004670C3" w:rsidRDefault="004670C3" w:rsidP="004670C3">
            <w:pPr>
              <w:pStyle w:val="NoSpacing"/>
              <w:rPr>
                <w:rFonts w:ascii="Verdana" w:hAnsi="Verdana"/>
                <w:b/>
                <w:bCs/>
                <w:i/>
                <w:iCs/>
              </w:rPr>
            </w:pPr>
            <w:r w:rsidRPr="004670C3">
              <w:rPr>
                <w:rFonts w:ascii="Verdana" w:hAnsi="Verdana"/>
                <w:b/>
                <w:bCs/>
                <w:i/>
                <w:iCs/>
              </w:rPr>
              <w:t>Tuesday 8 June 2021 (6.30pm)</w:t>
            </w:r>
          </w:p>
          <w:p w14:paraId="757049C2" w14:textId="77777777" w:rsidR="00144E96" w:rsidRDefault="00144E96" w:rsidP="00085599">
            <w:pPr>
              <w:rPr>
                <w:rFonts w:ascii="Verdana" w:hAnsi="Verdana"/>
              </w:rPr>
            </w:pPr>
          </w:p>
          <w:p w14:paraId="7D7B6EFD" w14:textId="4DD02223" w:rsidR="004670C3" w:rsidRDefault="004670C3" w:rsidP="004670C3">
            <w:pPr>
              <w:rPr>
                <w:rFonts w:ascii="Verdana" w:hAnsi="Verdana"/>
              </w:rPr>
            </w:pPr>
            <w:r>
              <w:rPr>
                <w:rFonts w:ascii="Verdana" w:hAnsi="Verdana"/>
              </w:rPr>
              <w:t xml:space="preserve">It was agreed that, for the protection of members and the College, the 9 February 2021 meeting will be held online.  </w:t>
            </w:r>
          </w:p>
          <w:p w14:paraId="035DEBF5" w14:textId="77777777" w:rsidR="004670C3" w:rsidRDefault="004670C3" w:rsidP="004670C3">
            <w:pPr>
              <w:rPr>
                <w:rFonts w:ascii="Verdana" w:hAnsi="Verdana"/>
              </w:rPr>
            </w:pPr>
          </w:p>
          <w:p w14:paraId="4531B5D9" w14:textId="77777777" w:rsidR="004670C3" w:rsidRDefault="004670C3" w:rsidP="004670C3">
            <w:pPr>
              <w:rPr>
                <w:rFonts w:ascii="Verdana" w:hAnsi="Verdana"/>
              </w:rPr>
            </w:pPr>
            <w:r>
              <w:rPr>
                <w:rFonts w:ascii="Verdana" w:hAnsi="Verdana"/>
              </w:rPr>
              <w:t>Whether subsequent meetings are held physically or online will be determined by the public health situation as it affects participants at the time.</w:t>
            </w:r>
          </w:p>
          <w:p w14:paraId="220D6815" w14:textId="31A0808C" w:rsidR="004670C3" w:rsidRPr="00773A1E" w:rsidRDefault="004670C3" w:rsidP="00085599">
            <w:pPr>
              <w:rPr>
                <w:rFonts w:ascii="Verdana" w:hAnsi="Verdana"/>
              </w:rPr>
            </w:pPr>
          </w:p>
        </w:tc>
      </w:tr>
      <w:tr w:rsidR="00144E96" w:rsidRPr="00773A1E" w14:paraId="023EFF4C" w14:textId="77777777" w:rsidTr="005D0A52">
        <w:tc>
          <w:tcPr>
            <w:tcW w:w="529" w:type="dxa"/>
          </w:tcPr>
          <w:p w14:paraId="1BC568B4" w14:textId="45D4A867" w:rsidR="00144E96" w:rsidRDefault="00144E96" w:rsidP="00085599">
            <w:pPr>
              <w:rPr>
                <w:rFonts w:ascii="Verdana" w:hAnsi="Verdana"/>
                <w:b/>
              </w:rPr>
            </w:pPr>
            <w:r>
              <w:rPr>
                <w:rFonts w:ascii="Verdana" w:hAnsi="Verdana"/>
                <w:b/>
              </w:rPr>
              <w:t>9</w:t>
            </w:r>
          </w:p>
        </w:tc>
        <w:tc>
          <w:tcPr>
            <w:tcW w:w="9218" w:type="dxa"/>
          </w:tcPr>
          <w:p w14:paraId="52BD5EF4" w14:textId="41E0E3E2" w:rsidR="00144E96" w:rsidRDefault="00144E96" w:rsidP="00144E96">
            <w:pPr>
              <w:rPr>
                <w:rFonts w:ascii="Verdana" w:hAnsi="Verdana"/>
                <w:b/>
              </w:rPr>
            </w:pPr>
            <w:r w:rsidRPr="0049013F">
              <w:rPr>
                <w:rFonts w:ascii="Verdana" w:hAnsi="Verdana"/>
                <w:b/>
              </w:rPr>
              <w:t>Any Other Competent Business</w:t>
            </w:r>
          </w:p>
          <w:p w14:paraId="6B932400" w14:textId="77777777" w:rsidR="00144E96" w:rsidRPr="0049013F" w:rsidRDefault="00144E96" w:rsidP="00144E96">
            <w:pPr>
              <w:rPr>
                <w:rFonts w:ascii="Verdana" w:hAnsi="Verdana"/>
                <w:b/>
              </w:rPr>
            </w:pPr>
          </w:p>
          <w:p w14:paraId="7F4E8486" w14:textId="053448FE" w:rsidR="00144E96" w:rsidRPr="00144E96" w:rsidRDefault="00144E96" w:rsidP="00085599">
            <w:pPr>
              <w:rPr>
                <w:rFonts w:ascii="Verdana" w:hAnsi="Verdana"/>
                <w:bCs/>
              </w:rPr>
            </w:pPr>
            <w:r w:rsidRPr="00144E96">
              <w:rPr>
                <w:rFonts w:ascii="Verdana" w:hAnsi="Verdana"/>
                <w:bCs/>
              </w:rPr>
              <w:t>None.</w:t>
            </w:r>
          </w:p>
        </w:tc>
      </w:tr>
    </w:tbl>
    <w:p w14:paraId="1B765BAC" w14:textId="39D9CCAA" w:rsidR="00896BAE" w:rsidRDefault="00896BAE" w:rsidP="00402468"/>
    <w:p w14:paraId="738D6C99" w14:textId="138C176E" w:rsidR="0070615E" w:rsidRDefault="0070615E" w:rsidP="00402468"/>
    <w:p w14:paraId="006B9588" w14:textId="77777777" w:rsidR="0070615E" w:rsidRDefault="0070615E" w:rsidP="00402468"/>
    <w:p w14:paraId="44A03C57" w14:textId="2C5F78B8" w:rsidR="00532D30" w:rsidRPr="00211852" w:rsidRDefault="00211852" w:rsidP="00211852">
      <w:pPr>
        <w:pStyle w:val="NoSpacing"/>
        <w:rPr>
          <w:rFonts w:ascii="Verdana" w:hAnsi="Verdana"/>
          <w:b/>
          <w:bCs/>
        </w:rPr>
      </w:pPr>
      <w:r w:rsidRPr="00211852">
        <w:rPr>
          <w:rFonts w:ascii="Verdana" w:hAnsi="Verdana"/>
          <w:b/>
          <w:bCs/>
        </w:rPr>
        <w:t>List of Actions</w:t>
      </w:r>
    </w:p>
    <w:p w14:paraId="27D6D61F" w14:textId="77777777" w:rsidR="000919DD" w:rsidRDefault="000919DD" w:rsidP="00402468"/>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0"/>
        <w:gridCol w:w="3017"/>
        <w:gridCol w:w="5387"/>
      </w:tblGrid>
      <w:tr w:rsidR="00211852" w:rsidRPr="00413682" w14:paraId="7B6DD427" w14:textId="77777777" w:rsidTr="005D0A52">
        <w:tc>
          <w:tcPr>
            <w:tcW w:w="1060" w:type="dxa"/>
          </w:tcPr>
          <w:p w14:paraId="3508A79C" w14:textId="77777777" w:rsidR="00211852" w:rsidRPr="00413682" w:rsidRDefault="00211852" w:rsidP="00CA2ADE">
            <w:pPr>
              <w:rPr>
                <w:rFonts w:ascii="Verdana" w:hAnsi="Verdana"/>
                <w:b/>
                <w:i/>
              </w:rPr>
            </w:pPr>
            <w:r w:rsidRPr="00413682">
              <w:rPr>
                <w:rFonts w:ascii="Verdana" w:hAnsi="Verdana"/>
                <w:b/>
                <w:i/>
              </w:rPr>
              <w:t>Minute</w:t>
            </w:r>
          </w:p>
        </w:tc>
        <w:tc>
          <w:tcPr>
            <w:tcW w:w="3017" w:type="dxa"/>
          </w:tcPr>
          <w:p w14:paraId="2812E164" w14:textId="77777777" w:rsidR="00211852" w:rsidRPr="00413682" w:rsidRDefault="00211852" w:rsidP="00CA2ADE">
            <w:pPr>
              <w:rPr>
                <w:rFonts w:ascii="Verdana" w:hAnsi="Verdana"/>
                <w:b/>
                <w:i/>
              </w:rPr>
            </w:pPr>
            <w:r w:rsidRPr="00413682">
              <w:rPr>
                <w:rFonts w:ascii="Verdana" w:hAnsi="Verdana"/>
                <w:b/>
                <w:i/>
              </w:rPr>
              <w:t>Person Responsible</w:t>
            </w:r>
          </w:p>
        </w:tc>
        <w:tc>
          <w:tcPr>
            <w:tcW w:w="5387" w:type="dxa"/>
          </w:tcPr>
          <w:p w14:paraId="775D8B5F" w14:textId="77777777" w:rsidR="00211852" w:rsidRDefault="00211852" w:rsidP="00CA2ADE">
            <w:pPr>
              <w:rPr>
                <w:rFonts w:ascii="Verdana" w:hAnsi="Verdana"/>
                <w:b/>
                <w:i/>
              </w:rPr>
            </w:pPr>
            <w:r w:rsidRPr="00413682">
              <w:rPr>
                <w:rFonts w:ascii="Verdana" w:hAnsi="Verdana"/>
                <w:b/>
                <w:i/>
              </w:rPr>
              <w:t>Action</w:t>
            </w:r>
          </w:p>
          <w:p w14:paraId="5AB8B7BE" w14:textId="77777777" w:rsidR="00211852" w:rsidRPr="00413682" w:rsidRDefault="00211852" w:rsidP="00CA2ADE">
            <w:pPr>
              <w:rPr>
                <w:rFonts w:ascii="Verdana" w:hAnsi="Verdana"/>
                <w:b/>
                <w:i/>
              </w:rPr>
            </w:pPr>
          </w:p>
        </w:tc>
      </w:tr>
      <w:tr w:rsidR="00211852" w14:paraId="727A431B" w14:textId="77777777" w:rsidTr="005D0A52">
        <w:tc>
          <w:tcPr>
            <w:tcW w:w="1060" w:type="dxa"/>
          </w:tcPr>
          <w:p w14:paraId="3F70DE18" w14:textId="3FDA1306" w:rsidR="00211852" w:rsidRDefault="00211852" w:rsidP="00CA2ADE">
            <w:pPr>
              <w:rPr>
                <w:rFonts w:ascii="Verdana" w:hAnsi="Verdana"/>
              </w:rPr>
            </w:pPr>
            <w:r>
              <w:rPr>
                <w:rFonts w:ascii="Verdana" w:hAnsi="Verdana"/>
              </w:rPr>
              <w:t>6</w:t>
            </w:r>
          </w:p>
        </w:tc>
        <w:tc>
          <w:tcPr>
            <w:tcW w:w="3017" w:type="dxa"/>
          </w:tcPr>
          <w:p w14:paraId="7E40C9E6" w14:textId="346BEBDE" w:rsidR="00211852" w:rsidRDefault="00211852" w:rsidP="00CA2ADE">
            <w:pPr>
              <w:rPr>
                <w:rFonts w:ascii="Verdana" w:hAnsi="Verdana"/>
              </w:rPr>
            </w:pPr>
            <w:r>
              <w:rPr>
                <w:rFonts w:ascii="Verdana" w:hAnsi="Verdana"/>
              </w:rPr>
              <w:t>Vice-Principal: Curriculum</w:t>
            </w:r>
          </w:p>
        </w:tc>
        <w:tc>
          <w:tcPr>
            <w:tcW w:w="5387" w:type="dxa"/>
          </w:tcPr>
          <w:p w14:paraId="7D459BE3" w14:textId="73255F6E" w:rsidR="00211852" w:rsidRDefault="00211852" w:rsidP="00CA2ADE">
            <w:pPr>
              <w:rPr>
                <w:rFonts w:ascii="Verdana" w:hAnsi="Verdana"/>
              </w:rPr>
            </w:pPr>
            <w:r>
              <w:rPr>
                <w:rFonts w:ascii="Verdana" w:hAnsi="Verdana"/>
              </w:rPr>
              <w:t>Add 2018-19 outcome column to the KPIs 2020-21 for comparative purposes prior to circulation to the Corporation for the meeting to be held on 15 December 2020.</w:t>
            </w:r>
          </w:p>
        </w:tc>
      </w:tr>
    </w:tbl>
    <w:p w14:paraId="77E13E72" w14:textId="77777777" w:rsidR="000919DD" w:rsidRDefault="000919DD" w:rsidP="00402468"/>
    <w:p w14:paraId="17259DCB" w14:textId="77777777" w:rsidR="000919DD" w:rsidRDefault="000919DD" w:rsidP="00402468"/>
    <w:p w14:paraId="19232A53" w14:textId="77777777" w:rsidR="000919DD" w:rsidRDefault="000919DD" w:rsidP="00402468">
      <w:bookmarkStart w:id="0" w:name="_GoBack"/>
      <w:bookmarkEnd w:id="0"/>
    </w:p>
    <w:sectPr w:rsidR="000919D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86AA0" w14:textId="77777777" w:rsidR="00085599" w:rsidRDefault="00085599" w:rsidP="00877089">
      <w:r>
        <w:separator/>
      </w:r>
    </w:p>
  </w:endnote>
  <w:endnote w:type="continuationSeparator" w:id="0">
    <w:p w14:paraId="68DD0AAC" w14:textId="77777777" w:rsidR="00085599" w:rsidRDefault="00085599" w:rsidP="00877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96006" w14:textId="77777777" w:rsidR="00085599" w:rsidRDefault="00085599" w:rsidP="00877089">
      <w:r>
        <w:separator/>
      </w:r>
    </w:p>
  </w:footnote>
  <w:footnote w:type="continuationSeparator" w:id="0">
    <w:p w14:paraId="25B098A9" w14:textId="77777777" w:rsidR="00085599" w:rsidRDefault="00085599" w:rsidP="008770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02248"/>
    <w:multiLevelType w:val="hybridMultilevel"/>
    <w:tmpl w:val="1A2C86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2549C1"/>
    <w:multiLevelType w:val="multilevel"/>
    <w:tmpl w:val="DE867F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080" w:hanging="72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440" w:hanging="108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1800" w:hanging="144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2" w15:restartNumberingAfterBreak="0">
    <w:nsid w:val="2A040338"/>
    <w:multiLevelType w:val="hybridMultilevel"/>
    <w:tmpl w:val="361E7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74641D6"/>
    <w:multiLevelType w:val="hybridMultilevel"/>
    <w:tmpl w:val="BD3E82F2"/>
    <w:lvl w:ilvl="0" w:tplc="E1C6E460">
      <w:start w:val="4"/>
      <w:numFmt w:val="decimal"/>
      <w:lvlText w:val="%1."/>
      <w:lvlJc w:val="left"/>
      <w:pPr>
        <w:ind w:left="794" w:hanging="562"/>
      </w:pPr>
      <w:rPr>
        <w:rFonts w:ascii="Arial" w:eastAsia="Arial" w:hAnsi="Arial" w:hint="default"/>
        <w:w w:val="99"/>
        <w:sz w:val="22"/>
        <w:szCs w:val="22"/>
      </w:rPr>
    </w:lvl>
    <w:lvl w:ilvl="1" w:tplc="EB6C2114">
      <w:start w:val="1"/>
      <w:numFmt w:val="bullet"/>
      <w:lvlText w:val="•"/>
      <w:lvlJc w:val="left"/>
      <w:pPr>
        <w:ind w:left="2284" w:hanging="562"/>
      </w:pPr>
      <w:rPr>
        <w:rFonts w:hint="default"/>
      </w:rPr>
    </w:lvl>
    <w:lvl w:ilvl="2" w:tplc="6F2C6A56">
      <w:start w:val="1"/>
      <w:numFmt w:val="bullet"/>
      <w:lvlText w:val="•"/>
      <w:lvlJc w:val="left"/>
      <w:pPr>
        <w:ind w:left="3768" w:hanging="562"/>
      </w:pPr>
      <w:rPr>
        <w:rFonts w:hint="default"/>
      </w:rPr>
    </w:lvl>
    <w:lvl w:ilvl="3" w:tplc="EB64DE86">
      <w:start w:val="1"/>
      <w:numFmt w:val="bullet"/>
      <w:lvlText w:val="•"/>
      <w:lvlJc w:val="left"/>
      <w:pPr>
        <w:ind w:left="5252" w:hanging="562"/>
      </w:pPr>
      <w:rPr>
        <w:rFonts w:hint="default"/>
      </w:rPr>
    </w:lvl>
    <w:lvl w:ilvl="4" w:tplc="6A081BFC">
      <w:start w:val="1"/>
      <w:numFmt w:val="bullet"/>
      <w:lvlText w:val="•"/>
      <w:lvlJc w:val="left"/>
      <w:pPr>
        <w:ind w:left="6736" w:hanging="562"/>
      </w:pPr>
      <w:rPr>
        <w:rFonts w:hint="default"/>
      </w:rPr>
    </w:lvl>
    <w:lvl w:ilvl="5" w:tplc="1A46732A">
      <w:start w:val="1"/>
      <w:numFmt w:val="bullet"/>
      <w:lvlText w:val="•"/>
      <w:lvlJc w:val="left"/>
      <w:pPr>
        <w:ind w:left="8220" w:hanging="562"/>
      </w:pPr>
      <w:rPr>
        <w:rFonts w:hint="default"/>
      </w:rPr>
    </w:lvl>
    <w:lvl w:ilvl="6" w:tplc="85244E60">
      <w:start w:val="1"/>
      <w:numFmt w:val="bullet"/>
      <w:lvlText w:val="•"/>
      <w:lvlJc w:val="left"/>
      <w:pPr>
        <w:ind w:left="9704" w:hanging="562"/>
      </w:pPr>
      <w:rPr>
        <w:rFonts w:hint="default"/>
      </w:rPr>
    </w:lvl>
    <w:lvl w:ilvl="7" w:tplc="3E6641D8">
      <w:start w:val="1"/>
      <w:numFmt w:val="bullet"/>
      <w:lvlText w:val="•"/>
      <w:lvlJc w:val="left"/>
      <w:pPr>
        <w:ind w:left="11188" w:hanging="562"/>
      </w:pPr>
      <w:rPr>
        <w:rFonts w:hint="default"/>
      </w:rPr>
    </w:lvl>
    <w:lvl w:ilvl="8" w:tplc="5094CAD4">
      <w:start w:val="1"/>
      <w:numFmt w:val="bullet"/>
      <w:lvlText w:val="•"/>
      <w:lvlJc w:val="left"/>
      <w:pPr>
        <w:ind w:left="12672" w:hanging="562"/>
      </w:pPr>
      <w:rPr>
        <w:rFonts w:hint="default"/>
      </w:rPr>
    </w:lvl>
  </w:abstractNum>
  <w:abstractNum w:abstractNumId="4" w15:restartNumberingAfterBreak="0">
    <w:nsid w:val="3A1452F2"/>
    <w:multiLevelType w:val="hybridMultilevel"/>
    <w:tmpl w:val="8D06AEB6"/>
    <w:lvl w:ilvl="0" w:tplc="029437B2">
      <w:start w:val="1"/>
      <w:numFmt w:val="decimal"/>
      <w:lvlText w:val="%1."/>
      <w:lvlJc w:val="left"/>
      <w:pPr>
        <w:ind w:left="777" w:hanging="539"/>
      </w:pPr>
      <w:rPr>
        <w:rFonts w:ascii="Arial" w:eastAsia="Arial" w:hAnsi="Arial" w:hint="default"/>
        <w:w w:val="99"/>
        <w:sz w:val="22"/>
        <w:szCs w:val="22"/>
      </w:rPr>
    </w:lvl>
    <w:lvl w:ilvl="1" w:tplc="2FC611FE">
      <w:start w:val="1"/>
      <w:numFmt w:val="bullet"/>
      <w:lvlText w:val="•"/>
      <w:lvlJc w:val="left"/>
      <w:pPr>
        <w:ind w:left="2266" w:hanging="539"/>
      </w:pPr>
      <w:rPr>
        <w:rFonts w:hint="default"/>
      </w:rPr>
    </w:lvl>
    <w:lvl w:ilvl="2" w:tplc="A20C31AC">
      <w:start w:val="1"/>
      <w:numFmt w:val="bullet"/>
      <w:lvlText w:val="•"/>
      <w:lvlJc w:val="left"/>
      <w:pPr>
        <w:ind w:left="3752" w:hanging="539"/>
      </w:pPr>
      <w:rPr>
        <w:rFonts w:hint="default"/>
      </w:rPr>
    </w:lvl>
    <w:lvl w:ilvl="3" w:tplc="05FE5B52">
      <w:start w:val="1"/>
      <w:numFmt w:val="bullet"/>
      <w:lvlText w:val="•"/>
      <w:lvlJc w:val="left"/>
      <w:pPr>
        <w:ind w:left="5238" w:hanging="539"/>
      </w:pPr>
      <w:rPr>
        <w:rFonts w:hint="default"/>
      </w:rPr>
    </w:lvl>
    <w:lvl w:ilvl="4" w:tplc="BA1EC646">
      <w:start w:val="1"/>
      <w:numFmt w:val="bullet"/>
      <w:lvlText w:val="•"/>
      <w:lvlJc w:val="left"/>
      <w:pPr>
        <w:ind w:left="6724" w:hanging="539"/>
      </w:pPr>
      <w:rPr>
        <w:rFonts w:hint="default"/>
      </w:rPr>
    </w:lvl>
    <w:lvl w:ilvl="5" w:tplc="171A824E">
      <w:start w:val="1"/>
      <w:numFmt w:val="bullet"/>
      <w:lvlText w:val="•"/>
      <w:lvlJc w:val="left"/>
      <w:pPr>
        <w:ind w:left="8210" w:hanging="539"/>
      </w:pPr>
      <w:rPr>
        <w:rFonts w:hint="default"/>
      </w:rPr>
    </w:lvl>
    <w:lvl w:ilvl="6" w:tplc="879A91F8">
      <w:start w:val="1"/>
      <w:numFmt w:val="bullet"/>
      <w:lvlText w:val="•"/>
      <w:lvlJc w:val="left"/>
      <w:pPr>
        <w:ind w:left="9696" w:hanging="539"/>
      </w:pPr>
      <w:rPr>
        <w:rFonts w:hint="default"/>
      </w:rPr>
    </w:lvl>
    <w:lvl w:ilvl="7" w:tplc="44C0F6EE">
      <w:start w:val="1"/>
      <w:numFmt w:val="bullet"/>
      <w:lvlText w:val="•"/>
      <w:lvlJc w:val="left"/>
      <w:pPr>
        <w:ind w:left="11182" w:hanging="539"/>
      </w:pPr>
      <w:rPr>
        <w:rFonts w:hint="default"/>
      </w:rPr>
    </w:lvl>
    <w:lvl w:ilvl="8" w:tplc="AEA6C7FC">
      <w:start w:val="1"/>
      <w:numFmt w:val="bullet"/>
      <w:lvlText w:val="•"/>
      <w:lvlJc w:val="left"/>
      <w:pPr>
        <w:ind w:left="12668" w:hanging="539"/>
      </w:pPr>
      <w:rPr>
        <w:rFonts w:hint="default"/>
      </w:rPr>
    </w:lvl>
  </w:abstractNum>
  <w:abstractNum w:abstractNumId="5" w15:restartNumberingAfterBreak="0">
    <w:nsid w:val="3A4D69BA"/>
    <w:multiLevelType w:val="multilevel"/>
    <w:tmpl w:val="A2DC41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0512650"/>
    <w:multiLevelType w:val="hybridMultilevel"/>
    <w:tmpl w:val="EF30A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B30EF6"/>
    <w:multiLevelType w:val="hybridMultilevel"/>
    <w:tmpl w:val="5F12C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30734F"/>
    <w:multiLevelType w:val="hybridMultilevel"/>
    <w:tmpl w:val="F09AC45C"/>
    <w:lvl w:ilvl="0" w:tplc="A492DD34">
      <w:start w:val="2"/>
      <w:numFmt w:val="upperLetter"/>
      <w:lvlText w:val="%1."/>
      <w:lvlJc w:val="left"/>
      <w:pPr>
        <w:ind w:left="779" w:hanging="660"/>
      </w:pPr>
      <w:rPr>
        <w:rFonts w:ascii="Arial" w:eastAsia="Arial" w:hAnsi="Arial" w:hint="default"/>
        <w:spacing w:val="-1"/>
        <w:w w:val="100"/>
        <w:sz w:val="24"/>
        <w:szCs w:val="24"/>
      </w:rPr>
    </w:lvl>
    <w:lvl w:ilvl="1" w:tplc="9D2E6BCE">
      <w:start w:val="1"/>
      <w:numFmt w:val="bullet"/>
      <w:lvlText w:val=""/>
      <w:lvlJc w:val="left"/>
      <w:pPr>
        <w:ind w:left="800" w:hanging="427"/>
      </w:pPr>
      <w:rPr>
        <w:rFonts w:ascii="Symbol" w:eastAsia="Symbol" w:hAnsi="Symbol" w:hint="default"/>
        <w:w w:val="99"/>
        <w:sz w:val="22"/>
        <w:szCs w:val="22"/>
      </w:rPr>
    </w:lvl>
    <w:lvl w:ilvl="2" w:tplc="47FAABBC">
      <w:start w:val="1"/>
      <w:numFmt w:val="bullet"/>
      <w:lvlText w:val=""/>
      <w:lvlJc w:val="left"/>
      <w:pPr>
        <w:ind w:left="952" w:hanging="361"/>
      </w:pPr>
      <w:rPr>
        <w:rFonts w:ascii="Symbol" w:eastAsia="Symbol" w:hAnsi="Symbol" w:hint="default"/>
        <w:w w:val="99"/>
        <w:sz w:val="22"/>
        <w:szCs w:val="22"/>
      </w:rPr>
    </w:lvl>
    <w:lvl w:ilvl="3" w:tplc="F794B0E0">
      <w:start w:val="1"/>
      <w:numFmt w:val="bullet"/>
      <w:lvlText w:val="•"/>
      <w:lvlJc w:val="left"/>
      <w:pPr>
        <w:ind w:left="2792" w:hanging="361"/>
      </w:pPr>
      <w:rPr>
        <w:rFonts w:hint="default"/>
      </w:rPr>
    </w:lvl>
    <w:lvl w:ilvl="4" w:tplc="30160714">
      <w:start w:val="1"/>
      <w:numFmt w:val="bullet"/>
      <w:lvlText w:val="•"/>
      <w:lvlJc w:val="left"/>
      <w:pPr>
        <w:ind w:left="4625" w:hanging="361"/>
      </w:pPr>
      <w:rPr>
        <w:rFonts w:hint="default"/>
      </w:rPr>
    </w:lvl>
    <w:lvl w:ilvl="5" w:tplc="D1A2A950">
      <w:start w:val="1"/>
      <w:numFmt w:val="bullet"/>
      <w:lvlText w:val="•"/>
      <w:lvlJc w:val="left"/>
      <w:pPr>
        <w:ind w:left="6457" w:hanging="361"/>
      </w:pPr>
      <w:rPr>
        <w:rFonts w:hint="default"/>
      </w:rPr>
    </w:lvl>
    <w:lvl w:ilvl="6" w:tplc="0A4EB652">
      <w:start w:val="1"/>
      <w:numFmt w:val="bullet"/>
      <w:lvlText w:val="•"/>
      <w:lvlJc w:val="left"/>
      <w:pPr>
        <w:ind w:left="8290" w:hanging="361"/>
      </w:pPr>
      <w:rPr>
        <w:rFonts w:hint="default"/>
      </w:rPr>
    </w:lvl>
    <w:lvl w:ilvl="7" w:tplc="00C867BC">
      <w:start w:val="1"/>
      <w:numFmt w:val="bullet"/>
      <w:lvlText w:val="•"/>
      <w:lvlJc w:val="left"/>
      <w:pPr>
        <w:ind w:left="10122" w:hanging="361"/>
      </w:pPr>
      <w:rPr>
        <w:rFonts w:hint="default"/>
      </w:rPr>
    </w:lvl>
    <w:lvl w:ilvl="8" w:tplc="14EE3382">
      <w:start w:val="1"/>
      <w:numFmt w:val="bullet"/>
      <w:lvlText w:val="•"/>
      <w:lvlJc w:val="left"/>
      <w:pPr>
        <w:ind w:left="11955" w:hanging="361"/>
      </w:pPr>
      <w:rPr>
        <w:rFonts w:hint="default"/>
      </w:rPr>
    </w:lvl>
  </w:abstractNum>
  <w:abstractNum w:abstractNumId="9" w15:restartNumberingAfterBreak="0">
    <w:nsid w:val="4F2C1018"/>
    <w:multiLevelType w:val="hybridMultilevel"/>
    <w:tmpl w:val="5FEAF1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B160FF"/>
    <w:multiLevelType w:val="hybridMultilevel"/>
    <w:tmpl w:val="E5F0A8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16C5A82"/>
    <w:multiLevelType w:val="hybridMultilevel"/>
    <w:tmpl w:val="DDB06B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A372FB3"/>
    <w:multiLevelType w:val="hybridMultilevel"/>
    <w:tmpl w:val="F55C5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FB1CC6"/>
    <w:multiLevelType w:val="hybridMultilevel"/>
    <w:tmpl w:val="99A4C36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620F3194"/>
    <w:multiLevelType w:val="hybridMultilevel"/>
    <w:tmpl w:val="4CDAD9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9E461E"/>
    <w:multiLevelType w:val="hybridMultilevel"/>
    <w:tmpl w:val="492CA9F4"/>
    <w:lvl w:ilvl="0" w:tplc="7960EFBE">
      <w:start w:val="1"/>
      <w:numFmt w:val="decimal"/>
      <w:lvlText w:val="%1."/>
      <w:lvlJc w:val="left"/>
      <w:pPr>
        <w:ind w:left="800" w:hanging="565"/>
      </w:pPr>
      <w:rPr>
        <w:rFonts w:ascii="Arial" w:eastAsia="Arial" w:hAnsi="Arial" w:hint="default"/>
        <w:w w:val="99"/>
        <w:sz w:val="22"/>
        <w:szCs w:val="22"/>
      </w:rPr>
    </w:lvl>
    <w:lvl w:ilvl="1" w:tplc="FACCFD62">
      <w:start w:val="1"/>
      <w:numFmt w:val="bullet"/>
      <w:lvlText w:val="•"/>
      <w:lvlJc w:val="left"/>
      <w:pPr>
        <w:ind w:left="2282" w:hanging="565"/>
      </w:pPr>
      <w:rPr>
        <w:rFonts w:hint="default"/>
      </w:rPr>
    </w:lvl>
    <w:lvl w:ilvl="2" w:tplc="578C0584">
      <w:start w:val="1"/>
      <w:numFmt w:val="bullet"/>
      <w:lvlText w:val="•"/>
      <w:lvlJc w:val="left"/>
      <w:pPr>
        <w:ind w:left="3764" w:hanging="565"/>
      </w:pPr>
      <w:rPr>
        <w:rFonts w:hint="default"/>
      </w:rPr>
    </w:lvl>
    <w:lvl w:ilvl="3" w:tplc="E4DED248">
      <w:start w:val="1"/>
      <w:numFmt w:val="bullet"/>
      <w:lvlText w:val="•"/>
      <w:lvlJc w:val="left"/>
      <w:pPr>
        <w:ind w:left="5246" w:hanging="565"/>
      </w:pPr>
      <w:rPr>
        <w:rFonts w:hint="default"/>
      </w:rPr>
    </w:lvl>
    <w:lvl w:ilvl="4" w:tplc="ADFC3A60">
      <w:start w:val="1"/>
      <w:numFmt w:val="bullet"/>
      <w:lvlText w:val="•"/>
      <w:lvlJc w:val="left"/>
      <w:pPr>
        <w:ind w:left="6728" w:hanging="565"/>
      </w:pPr>
      <w:rPr>
        <w:rFonts w:hint="default"/>
      </w:rPr>
    </w:lvl>
    <w:lvl w:ilvl="5" w:tplc="F3CA3A2A">
      <w:start w:val="1"/>
      <w:numFmt w:val="bullet"/>
      <w:lvlText w:val="•"/>
      <w:lvlJc w:val="left"/>
      <w:pPr>
        <w:ind w:left="8210" w:hanging="565"/>
      </w:pPr>
      <w:rPr>
        <w:rFonts w:hint="default"/>
      </w:rPr>
    </w:lvl>
    <w:lvl w:ilvl="6" w:tplc="B19AD348">
      <w:start w:val="1"/>
      <w:numFmt w:val="bullet"/>
      <w:lvlText w:val="•"/>
      <w:lvlJc w:val="left"/>
      <w:pPr>
        <w:ind w:left="9692" w:hanging="565"/>
      </w:pPr>
      <w:rPr>
        <w:rFonts w:hint="default"/>
      </w:rPr>
    </w:lvl>
    <w:lvl w:ilvl="7" w:tplc="14F44BAA">
      <w:start w:val="1"/>
      <w:numFmt w:val="bullet"/>
      <w:lvlText w:val="•"/>
      <w:lvlJc w:val="left"/>
      <w:pPr>
        <w:ind w:left="11174" w:hanging="565"/>
      </w:pPr>
      <w:rPr>
        <w:rFonts w:hint="default"/>
      </w:rPr>
    </w:lvl>
    <w:lvl w:ilvl="8" w:tplc="24BA3D3C">
      <w:start w:val="1"/>
      <w:numFmt w:val="bullet"/>
      <w:lvlText w:val="•"/>
      <w:lvlJc w:val="left"/>
      <w:pPr>
        <w:ind w:left="12656" w:hanging="565"/>
      </w:pPr>
      <w:rPr>
        <w:rFonts w:hint="default"/>
      </w:rPr>
    </w:lvl>
  </w:abstractNum>
  <w:abstractNum w:abstractNumId="16" w15:restartNumberingAfterBreak="0">
    <w:nsid w:val="672833FF"/>
    <w:multiLevelType w:val="hybridMultilevel"/>
    <w:tmpl w:val="19BEF4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2A5FE2"/>
    <w:multiLevelType w:val="hybridMultilevel"/>
    <w:tmpl w:val="9FE45FA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EDC335C"/>
    <w:multiLevelType w:val="hybridMultilevel"/>
    <w:tmpl w:val="34FAA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600042"/>
    <w:multiLevelType w:val="hybridMultilevel"/>
    <w:tmpl w:val="945890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15"/>
  </w:num>
  <w:num w:numId="3">
    <w:abstractNumId w:val="4"/>
  </w:num>
  <w:num w:numId="4">
    <w:abstractNumId w:val="3"/>
  </w:num>
  <w:num w:numId="5">
    <w:abstractNumId w:val="6"/>
  </w:num>
  <w:num w:numId="6">
    <w:abstractNumId w:val="9"/>
  </w:num>
  <w:num w:numId="7">
    <w:abstractNumId w:val="5"/>
  </w:num>
  <w:num w:numId="8">
    <w:abstractNumId w:val="16"/>
  </w:num>
  <w:num w:numId="9">
    <w:abstractNumId w:val="14"/>
  </w:num>
  <w:num w:numId="10">
    <w:abstractNumId w:val="0"/>
  </w:num>
  <w:num w:numId="11">
    <w:abstractNumId w:val="18"/>
  </w:num>
  <w:num w:numId="12">
    <w:abstractNumId w:val="7"/>
  </w:num>
  <w:num w:numId="13">
    <w:abstractNumId w:val="2"/>
  </w:num>
  <w:num w:numId="14">
    <w:abstractNumId w:val="10"/>
  </w:num>
  <w:num w:numId="15">
    <w:abstractNumId w:val="1"/>
  </w:num>
  <w:num w:numId="16">
    <w:abstractNumId w:val="17"/>
  </w:num>
  <w:num w:numId="17">
    <w:abstractNumId w:val="11"/>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10E"/>
    <w:rsid w:val="0000016E"/>
    <w:rsid w:val="00003274"/>
    <w:rsid w:val="00003627"/>
    <w:rsid w:val="00007BE9"/>
    <w:rsid w:val="00012C20"/>
    <w:rsid w:val="000169B2"/>
    <w:rsid w:val="000310D1"/>
    <w:rsid w:val="00031364"/>
    <w:rsid w:val="00033115"/>
    <w:rsid w:val="00035AA0"/>
    <w:rsid w:val="00037AEC"/>
    <w:rsid w:val="00042F51"/>
    <w:rsid w:val="00044233"/>
    <w:rsid w:val="00044EF9"/>
    <w:rsid w:val="000463E9"/>
    <w:rsid w:val="000504F8"/>
    <w:rsid w:val="000534D5"/>
    <w:rsid w:val="00056BF4"/>
    <w:rsid w:val="0005771B"/>
    <w:rsid w:val="00061246"/>
    <w:rsid w:val="0006325D"/>
    <w:rsid w:val="000675F0"/>
    <w:rsid w:val="00067AF5"/>
    <w:rsid w:val="00071269"/>
    <w:rsid w:val="00077003"/>
    <w:rsid w:val="00077032"/>
    <w:rsid w:val="00083974"/>
    <w:rsid w:val="00085599"/>
    <w:rsid w:val="000919DD"/>
    <w:rsid w:val="000A4669"/>
    <w:rsid w:val="000A5624"/>
    <w:rsid w:val="000A6202"/>
    <w:rsid w:val="000B1C93"/>
    <w:rsid w:val="000B2F77"/>
    <w:rsid w:val="000B36AD"/>
    <w:rsid w:val="000B4217"/>
    <w:rsid w:val="000B4EE5"/>
    <w:rsid w:val="000C1429"/>
    <w:rsid w:val="000C294A"/>
    <w:rsid w:val="000C64D0"/>
    <w:rsid w:val="000C7D48"/>
    <w:rsid w:val="000C7D50"/>
    <w:rsid w:val="000D0204"/>
    <w:rsid w:val="000D6493"/>
    <w:rsid w:val="000E1FBF"/>
    <w:rsid w:val="000E5877"/>
    <w:rsid w:val="000E6449"/>
    <w:rsid w:val="000E6D01"/>
    <w:rsid w:val="000F105F"/>
    <w:rsid w:val="000F24D7"/>
    <w:rsid w:val="000F346F"/>
    <w:rsid w:val="000F7075"/>
    <w:rsid w:val="00103330"/>
    <w:rsid w:val="001067F7"/>
    <w:rsid w:val="00106F99"/>
    <w:rsid w:val="00111EC2"/>
    <w:rsid w:val="001142DA"/>
    <w:rsid w:val="00116A63"/>
    <w:rsid w:val="00120617"/>
    <w:rsid w:val="00122193"/>
    <w:rsid w:val="001248E9"/>
    <w:rsid w:val="00124F17"/>
    <w:rsid w:val="00130FE9"/>
    <w:rsid w:val="00131381"/>
    <w:rsid w:val="00131691"/>
    <w:rsid w:val="00132457"/>
    <w:rsid w:val="00132675"/>
    <w:rsid w:val="00135F9F"/>
    <w:rsid w:val="00136A5C"/>
    <w:rsid w:val="00137876"/>
    <w:rsid w:val="00137A87"/>
    <w:rsid w:val="001403D5"/>
    <w:rsid w:val="00140BF9"/>
    <w:rsid w:val="00143E78"/>
    <w:rsid w:val="00144E96"/>
    <w:rsid w:val="001451D7"/>
    <w:rsid w:val="001478A4"/>
    <w:rsid w:val="00147D27"/>
    <w:rsid w:val="0015125C"/>
    <w:rsid w:val="00152753"/>
    <w:rsid w:val="00156091"/>
    <w:rsid w:val="00157884"/>
    <w:rsid w:val="0016247C"/>
    <w:rsid w:val="0016461B"/>
    <w:rsid w:val="00164633"/>
    <w:rsid w:val="00165BD4"/>
    <w:rsid w:val="00171685"/>
    <w:rsid w:val="001726B0"/>
    <w:rsid w:val="001745E0"/>
    <w:rsid w:val="00180F08"/>
    <w:rsid w:val="00183723"/>
    <w:rsid w:val="00184901"/>
    <w:rsid w:val="00185EAC"/>
    <w:rsid w:val="001912A8"/>
    <w:rsid w:val="00193FAB"/>
    <w:rsid w:val="00196A3D"/>
    <w:rsid w:val="001A0984"/>
    <w:rsid w:val="001A2F8C"/>
    <w:rsid w:val="001A37AD"/>
    <w:rsid w:val="001A73E4"/>
    <w:rsid w:val="001B061C"/>
    <w:rsid w:val="001B3C08"/>
    <w:rsid w:val="001B54C1"/>
    <w:rsid w:val="001C2828"/>
    <w:rsid w:val="001C6B99"/>
    <w:rsid w:val="001C6BFA"/>
    <w:rsid w:val="001C746E"/>
    <w:rsid w:val="001C78F4"/>
    <w:rsid w:val="001D267E"/>
    <w:rsid w:val="001D470D"/>
    <w:rsid w:val="001D6953"/>
    <w:rsid w:val="001D7974"/>
    <w:rsid w:val="001E0EB0"/>
    <w:rsid w:val="001E5489"/>
    <w:rsid w:val="001E7190"/>
    <w:rsid w:val="001F258A"/>
    <w:rsid w:val="001F3B9F"/>
    <w:rsid w:val="001F487D"/>
    <w:rsid w:val="001F77A7"/>
    <w:rsid w:val="002019ED"/>
    <w:rsid w:val="00204921"/>
    <w:rsid w:val="002052B1"/>
    <w:rsid w:val="00206D43"/>
    <w:rsid w:val="00211852"/>
    <w:rsid w:val="002126E8"/>
    <w:rsid w:val="00213A88"/>
    <w:rsid w:val="00213CB3"/>
    <w:rsid w:val="002176C6"/>
    <w:rsid w:val="00217F9D"/>
    <w:rsid w:val="00220845"/>
    <w:rsid w:val="0022305B"/>
    <w:rsid w:val="002240BA"/>
    <w:rsid w:val="00225659"/>
    <w:rsid w:val="0023308E"/>
    <w:rsid w:val="00236D00"/>
    <w:rsid w:val="00241E6A"/>
    <w:rsid w:val="002430A0"/>
    <w:rsid w:val="00245D73"/>
    <w:rsid w:val="002460FD"/>
    <w:rsid w:val="00247E16"/>
    <w:rsid w:val="00250429"/>
    <w:rsid w:val="00250896"/>
    <w:rsid w:val="00251E82"/>
    <w:rsid w:val="00254CF7"/>
    <w:rsid w:val="00256FEE"/>
    <w:rsid w:val="00257AC8"/>
    <w:rsid w:val="00260CD3"/>
    <w:rsid w:val="00263045"/>
    <w:rsid w:val="00266897"/>
    <w:rsid w:val="002728C5"/>
    <w:rsid w:val="002744D4"/>
    <w:rsid w:val="00274C24"/>
    <w:rsid w:val="002763A4"/>
    <w:rsid w:val="00276A34"/>
    <w:rsid w:val="00277260"/>
    <w:rsid w:val="002803F7"/>
    <w:rsid w:val="00282BC9"/>
    <w:rsid w:val="00282C8B"/>
    <w:rsid w:val="002841F4"/>
    <w:rsid w:val="0028504D"/>
    <w:rsid w:val="00285A13"/>
    <w:rsid w:val="00287EB5"/>
    <w:rsid w:val="002954BA"/>
    <w:rsid w:val="002958AA"/>
    <w:rsid w:val="00297477"/>
    <w:rsid w:val="00297648"/>
    <w:rsid w:val="002A1B58"/>
    <w:rsid w:val="002A29FF"/>
    <w:rsid w:val="002A61E1"/>
    <w:rsid w:val="002B083D"/>
    <w:rsid w:val="002B0F71"/>
    <w:rsid w:val="002C3254"/>
    <w:rsid w:val="002C4528"/>
    <w:rsid w:val="002C4949"/>
    <w:rsid w:val="002D0B56"/>
    <w:rsid w:val="002D44A5"/>
    <w:rsid w:val="002D6D2E"/>
    <w:rsid w:val="002E14B5"/>
    <w:rsid w:val="002E169F"/>
    <w:rsid w:val="002E41C7"/>
    <w:rsid w:val="002E4295"/>
    <w:rsid w:val="002E564C"/>
    <w:rsid w:val="002E5895"/>
    <w:rsid w:val="002F010B"/>
    <w:rsid w:val="002F11BB"/>
    <w:rsid w:val="002F2C65"/>
    <w:rsid w:val="002F6490"/>
    <w:rsid w:val="002F6772"/>
    <w:rsid w:val="002F6E7A"/>
    <w:rsid w:val="00302284"/>
    <w:rsid w:val="00307167"/>
    <w:rsid w:val="0030778D"/>
    <w:rsid w:val="00310C78"/>
    <w:rsid w:val="003111CA"/>
    <w:rsid w:val="003175EA"/>
    <w:rsid w:val="00320E87"/>
    <w:rsid w:val="00323705"/>
    <w:rsid w:val="00330C13"/>
    <w:rsid w:val="0033199E"/>
    <w:rsid w:val="00332474"/>
    <w:rsid w:val="00332AF0"/>
    <w:rsid w:val="00332C00"/>
    <w:rsid w:val="00333A7F"/>
    <w:rsid w:val="00334031"/>
    <w:rsid w:val="0035116D"/>
    <w:rsid w:val="003545EB"/>
    <w:rsid w:val="00355589"/>
    <w:rsid w:val="00357040"/>
    <w:rsid w:val="00357916"/>
    <w:rsid w:val="00360F75"/>
    <w:rsid w:val="00364E1E"/>
    <w:rsid w:val="00366CFA"/>
    <w:rsid w:val="00371AF0"/>
    <w:rsid w:val="00372D3F"/>
    <w:rsid w:val="00375687"/>
    <w:rsid w:val="00376B7D"/>
    <w:rsid w:val="0038053F"/>
    <w:rsid w:val="003807F9"/>
    <w:rsid w:val="00380983"/>
    <w:rsid w:val="003836F5"/>
    <w:rsid w:val="00384B27"/>
    <w:rsid w:val="00386C15"/>
    <w:rsid w:val="00390544"/>
    <w:rsid w:val="0039626E"/>
    <w:rsid w:val="0039734A"/>
    <w:rsid w:val="003A252E"/>
    <w:rsid w:val="003A7BE2"/>
    <w:rsid w:val="003A7EFE"/>
    <w:rsid w:val="003B20BD"/>
    <w:rsid w:val="003B6BBE"/>
    <w:rsid w:val="003C0545"/>
    <w:rsid w:val="003C0C77"/>
    <w:rsid w:val="003C12CB"/>
    <w:rsid w:val="003C3050"/>
    <w:rsid w:val="003C56B5"/>
    <w:rsid w:val="003C5F10"/>
    <w:rsid w:val="003C67B9"/>
    <w:rsid w:val="003D2B35"/>
    <w:rsid w:val="003D2D49"/>
    <w:rsid w:val="003D3466"/>
    <w:rsid w:val="003D51A7"/>
    <w:rsid w:val="003D5798"/>
    <w:rsid w:val="003D7BFA"/>
    <w:rsid w:val="003D7F5D"/>
    <w:rsid w:val="003E05B2"/>
    <w:rsid w:val="003E1381"/>
    <w:rsid w:val="003E3025"/>
    <w:rsid w:val="003E53CD"/>
    <w:rsid w:val="003E7FFA"/>
    <w:rsid w:val="003F0148"/>
    <w:rsid w:val="003F091D"/>
    <w:rsid w:val="003F1D9A"/>
    <w:rsid w:val="003F2875"/>
    <w:rsid w:val="003F5197"/>
    <w:rsid w:val="003F7AC9"/>
    <w:rsid w:val="003F7AE4"/>
    <w:rsid w:val="00401EF6"/>
    <w:rsid w:val="00402468"/>
    <w:rsid w:val="0041356C"/>
    <w:rsid w:val="00420810"/>
    <w:rsid w:val="00421141"/>
    <w:rsid w:val="00421F98"/>
    <w:rsid w:val="00424F2E"/>
    <w:rsid w:val="00425DF5"/>
    <w:rsid w:val="004302CD"/>
    <w:rsid w:val="00441EF1"/>
    <w:rsid w:val="00443EF8"/>
    <w:rsid w:val="0044650B"/>
    <w:rsid w:val="00453C21"/>
    <w:rsid w:val="00455797"/>
    <w:rsid w:val="00461D08"/>
    <w:rsid w:val="00462901"/>
    <w:rsid w:val="004650F2"/>
    <w:rsid w:val="004651BB"/>
    <w:rsid w:val="004663EF"/>
    <w:rsid w:val="004670C3"/>
    <w:rsid w:val="004676BD"/>
    <w:rsid w:val="00470D22"/>
    <w:rsid w:val="004822D4"/>
    <w:rsid w:val="004856E0"/>
    <w:rsid w:val="004975FD"/>
    <w:rsid w:val="004A0291"/>
    <w:rsid w:val="004A08B7"/>
    <w:rsid w:val="004A18DA"/>
    <w:rsid w:val="004A51B4"/>
    <w:rsid w:val="004A5786"/>
    <w:rsid w:val="004B2881"/>
    <w:rsid w:val="004B2A5B"/>
    <w:rsid w:val="004B5E2C"/>
    <w:rsid w:val="004B7EBD"/>
    <w:rsid w:val="004C0D44"/>
    <w:rsid w:val="004C1F2C"/>
    <w:rsid w:val="004C3121"/>
    <w:rsid w:val="004C3AEA"/>
    <w:rsid w:val="004C5268"/>
    <w:rsid w:val="004C66DF"/>
    <w:rsid w:val="004D0B40"/>
    <w:rsid w:val="004D0FB0"/>
    <w:rsid w:val="004D1346"/>
    <w:rsid w:val="004D201D"/>
    <w:rsid w:val="004D5E44"/>
    <w:rsid w:val="004D6690"/>
    <w:rsid w:val="004D6E0C"/>
    <w:rsid w:val="004E0E52"/>
    <w:rsid w:val="004E6265"/>
    <w:rsid w:val="004F2686"/>
    <w:rsid w:val="004F3740"/>
    <w:rsid w:val="004F44BE"/>
    <w:rsid w:val="004F7A39"/>
    <w:rsid w:val="005038BB"/>
    <w:rsid w:val="00505D01"/>
    <w:rsid w:val="005073F7"/>
    <w:rsid w:val="005103E3"/>
    <w:rsid w:val="00510B6A"/>
    <w:rsid w:val="00513CEF"/>
    <w:rsid w:val="005141B3"/>
    <w:rsid w:val="00515F06"/>
    <w:rsid w:val="00520C4C"/>
    <w:rsid w:val="00521167"/>
    <w:rsid w:val="00523418"/>
    <w:rsid w:val="00525CA4"/>
    <w:rsid w:val="00525EAA"/>
    <w:rsid w:val="0053175D"/>
    <w:rsid w:val="005322C4"/>
    <w:rsid w:val="00532D30"/>
    <w:rsid w:val="00534421"/>
    <w:rsid w:val="00540D2D"/>
    <w:rsid w:val="00541F2A"/>
    <w:rsid w:val="00543EDE"/>
    <w:rsid w:val="00543F04"/>
    <w:rsid w:val="00545BC2"/>
    <w:rsid w:val="00546181"/>
    <w:rsid w:val="005527E6"/>
    <w:rsid w:val="005566FC"/>
    <w:rsid w:val="00560787"/>
    <w:rsid w:val="0056088C"/>
    <w:rsid w:val="005619CD"/>
    <w:rsid w:val="0056601A"/>
    <w:rsid w:val="005734BA"/>
    <w:rsid w:val="00573632"/>
    <w:rsid w:val="005821DE"/>
    <w:rsid w:val="0058790B"/>
    <w:rsid w:val="005900B0"/>
    <w:rsid w:val="0059331F"/>
    <w:rsid w:val="00594140"/>
    <w:rsid w:val="00595A98"/>
    <w:rsid w:val="00595F78"/>
    <w:rsid w:val="005A669C"/>
    <w:rsid w:val="005B0532"/>
    <w:rsid w:val="005B3ED2"/>
    <w:rsid w:val="005B4CB8"/>
    <w:rsid w:val="005B524F"/>
    <w:rsid w:val="005B5B36"/>
    <w:rsid w:val="005B6494"/>
    <w:rsid w:val="005C2719"/>
    <w:rsid w:val="005C6817"/>
    <w:rsid w:val="005C74CB"/>
    <w:rsid w:val="005D0A52"/>
    <w:rsid w:val="005D4B0C"/>
    <w:rsid w:val="005D7872"/>
    <w:rsid w:val="005E02A8"/>
    <w:rsid w:val="005E49FE"/>
    <w:rsid w:val="005E7B2F"/>
    <w:rsid w:val="005F1C91"/>
    <w:rsid w:val="005F4045"/>
    <w:rsid w:val="005F4781"/>
    <w:rsid w:val="005F47B6"/>
    <w:rsid w:val="005F58F6"/>
    <w:rsid w:val="005F628F"/>
    <w:rsid w:val="005F7A98"/>
    <w:rsid w:val="00603CDA"/>
    <w:rsid w:val="006055C1"/>
    <w:rsid w:val="0060682B"/>
    <w:rsid w:val="00606F17"/>
    <w:rsid w:val="00610A47"/>
    <w:rsid w:val="0061630A"/>
    <w:rsid w:val="006236B0"/>
    <w:rsid w:val="00624978"/>
    <w:rsid w:val="00625310"/>
    <w:rsid w:val="0062605F"/>
    <w:rsid w:val="00630C1C"/>
    <w:rsid w:val="00633189"/>
    <w:rsid w:val="00635D69"/>
    <w:rsid w:val="00635F77"/>
    <w:rsid w:val="006371BF"/>
    <w:rsid w:val="006427E0"/>
    <w:rsid w:val="006431F5"/>
    <w:rsid w:val="0064399F"/>
    <w:rsid w:val="006529F5"/>
    <w:rsid w:val="00652C29"/>
    <w:rsid w:val="006551EF"/>
    <w:rsid w:val="00671315"/>
    <w:rsid w:val="00671C7D"/>
    <w:rsid w:val="0067224F"/>
    <w:rsid w:val="00672971"/>
    <w:rsid w:val="006731E3"/>
    <w:rsid w:val="006739C9"/>
    <w:rsid w:val="00674F6F"/>
    <w:rsid w:val="00677C47"/>
    <w:rsid w:val="006861C0"/>
    <w:rsid w:val="00687BB7"/>
    <w:rsid w:val="006905A1"/>
    <w:rsid w:val="00690A8F"/>
    <w:rsid w:val="006921B3"/>
    <w:rsid w:val="00693C28"/>
    <w:rsid w:val="00695696"/>
    <w:rsid w:val="006A0DE5"/>
    <w:rsid w:val="006A13A4"/>
    <w:rsid w:val="006A1869"/>
    <w:rsid w:val="006A301F"/>
    <w:rsid w:val="006A38D0"/>
    <w:rsid w:val="006A795C"/>
    <w:rsid w:val="006B20B8"/>
    <w:rsid w:val="006B6756"/>
    <w:rsid w:val="006B6EBC"/>
    <w:rsid w:val="006C343D"/>
    <w:rsid w:val="006C4F34"/>
    <w:rsid w:val="006C5421"/>
    <w:rsid w:val="006C5BB1"/>
    <w:rsid w:val="006D1214"/>
    <w:rsid w:val="006E2EA8"/>
    <w:rsid w:val="006F28B9"/>
    <w:rsid w:val="006F2CD6"/>
    <w:rsid w:val="006F373B"/>
    <w:rsid w:val="006F4AD2"/>
    <w:rsid w:val="006F5400"/>
    <w:rsid w:val="006F6370"/>
    <w:rsid w:val="00700A05"/>
    <w:rsid w:val="00703835"/>
    <w:rsid w:val="0070615E"/>
    <w:rsid w:val="0071680D"/>
    <w:rsid w:val="00720A91"/>
    <w:rsid w:val="00722324"/>
    <w:rsid w:val="00723447"/>
    <w:rsid w:val="007246CD"/>
    <w:rsid w:val="00724E90"/>
    <w:rsid w:val="00725D3F"/>
    <w:rsid w:val="00731D71"/>
    <w:rsid w:val="007322FA"/>
    <w:rsid w:val="007448E2"/>
    <w:rsid w:val="00745AA7"/>
    <w:rsid w:val="00747AF6"/>
    <w:rsid w:val="007523DD"/>
    <w:rsid w:val="007535DD"/>
    <w:rsid w:val="007560D6"/>
    <w:rsid w:val="00760786"/>
    <w:rsid w:val="00761EFE"/>
    <w:rsid w:val="007644BF"/>
    <w:rsid w:val="007656A7"/>
    <w:rsid w:val="007662CD"/>
    <w:rsid w:val="00772EEB"/>
    <w:rsid w:val="00773A1E"/>
    <w:rsid w:val="00775D12"/>
    <w:rsid w:val="00783D30"/>
    <w:rsid w:val="0079201B"/>
    <w:rsid w:val="007934E8"/>
    <w:rsid w:val="0079461E"/>
    <w:rsid w:val="007961BE"/>
    <w:rsid w:val="007A002E"/>
    <w:rsid w:val="007A2AC9"/>
    <w:rsid w:val="007A42EB"/>
    <w:rsid w:val="007A5209"/>
    <w:rsid w:val="007A52EA"/>
    <w:rsid w:val="007B01B6"/>
    <w:rsid w:val="007B13D7"/>
    <w:rsid w:val="007B1895"/>
    <w:rsid w:val="007B3CDA"/>
    <w:rsid w:val="007B7ABC"/>
    <w:rsid w:val="007C0A22"/>
    <w:rsid w:val="007C3FB3"/>
    <w:rsid w:val="007C4842"/>
    <w:rsid w:val="007C58ED"/>
    <w:rsid w:val="007C59D3"/>
    <w:rsid w:val="007D23CD"/>
    <w:rsid w:val="007D4634"/>
    <w:rsid w:val="007D52AA"/>
    <w:rsid w:val="007D5C59"/>
    <w:rsid w:val="007E2075"/>
    <w:rsid w:val="007E23BA"/>
    <w:rsid w:val="007E532B"/>
    <w:rsid w:val="007E6565"/>
    <w:rsid w:val="007F07EE"/>
    <w:rsid w:val="007F0ABA"/>
    <w:rsid w:val="007F1EF3"/>
    <w:rsid w:val="007F21C3"/>
    <w:rsid w:val="007F3A4F"/>
    <w:rsid w:val="007F459A"/>
    <w:rsid w:val="007F7B01"/>
    <w:rsid w:val="007F7D61"/>
    <w:rsid w:val="0080077F"/>
    <w:rsid w:val="0080510E"/>
    <w:rsid w:val="0080583D"/>
    <w:rsid w:val="008059AC"/>
    <w:rsid w:val="0081045E"/>
    <w:rsid w:val="008130D4"/>
    <w:rsid w:val="008176B1"/>
    <w:rsid w:val="008203FE"/>
    <w:rsid w:val="00820D7A"/>
    <w:rsid w:val="00823EE4"/>
    <w:rsid w:val="008264E9"/>
    <w:rsid w:val="00827ADA"/>
    <w:rsid w:val="00830A3C"/>
    <w:rsid w:val="0083168D"/>
    <w:rsid w:val="0083298A"/>
    <w:rsid w:val="00833A20"/>
    <w:rsid w:val="00837E13"/>
    <w:rsid w:val="008401CA"/>
    <w:rsid w:val="0084029C"/>
    <w:rsid w:val="008404F1"/>
    <w:rsid w:val="0084221A"/>
    <w:rsid w:val="0084389B"/>
    <w:rsid w:val="008453B1"/>
    <w:rsid w:val="00846B2E"/>
    <w:rsid w:val="0085002A"/>
    <w:rsid w:val="0085337B"/>
    <w:rsid w:val="00853903"/>
    <w:rsid w:val="00853EAE"/>
    <w:rsid w:val="008572CA"/>
    <w:rsid w:val="0085765B"/>
    <w:rsid w:val="008578A5"/>
    <w:rsid w:val="008602AC"/>
    <w:rsid w:val="00861892"/>
    <w:rsid w:val="00862BCD"/>
    <w:rsid w:val="008700EC"/>
    <w:rsid w:val="00873047"/>
    <w:rsid w:val="00873C6F"/>
    <w:rsid w:val="00875685"/>
    <w:rsid w:val="00877089"/>
    <w:rsid w:val="00883E3D"/>
    <w:rsid w:val="00886175"/>
    <w:rsid w:val="008910D6"/>
    <w:rsid w:val="00896BAE"/>
    <w:rsid w:val="008974F5"/>
    <w:rsid w:val="008A1688"/>
    <w:rsid w:val="008A3948"/>
    <w:rsid w:val="008A6E93"/>
    <w:rsid w:val="008A7E0C"/>
    <w:rsid w:val="008B19F6"/>
    <w:rsid w:val="008B3264"/>
    <w:rsid w:val="008B32DD"/>
    <w:rsid w:val="008C1098"/>
    <w:rsid w:val="008C294D"/>
    <w:rsid w:val="008D49E2"/>
    <w:rsid w:val="008E3F17"/>
    <w:rsid w:val="008E515B"/>
    <w:rsid w:val="008E60C9"/>
    <w:rsid w:val="008E74DC"/>
    <w:rsid w:val="008F5135"/>
    <w:rsid w:val="00901410"/>
    <w:rsid w:val="00905ACF"/>
    <w:rsid w:val="00906953"/>
    <w:rsid w:val="00907324"/>
    <w:rsid w:val="009153BD"/>
    <w:rsid w:val="00915FDB"/>
    <w:rsid w:val="0092013A"/>
    <w:rsid w:val="00921C11"/>
    <w:rsid w:val="00922C7C"/>
    <w:rsid w:val="00923330"/>
    <w:rsid w:val="009246C1"/>
    <w:rsid w:val="00933B63"/>
    <w:rsid w:val="009411F4"/>
    <w:rsid w:val="0094183C"/>
    <w:rsid w:val="0094212E"/>
    <w:rsid w:val="00942CB1"/>
    <w:rsid w:val="009449DE"/>
    <w:rsid w:val="00945146"/>
    <w:rsid w:val="0094567F"/>
    <w:rsid w:val="00946055"/>
    <w:rsid w:val="00953C03"/>
    <w:rsid w:val="00954852"/>
    <w:rsid w:val="00961001"/>
    <w:rsid w:val="009627CB"/>
    <w:rsid w:val="009805B8"/>
    <w:rsid w:val="00982ED6"/>
    <w:rsid w:val="009851FC"/>
    <w:rsid w:val="009932AE"/>
    <w:rsid w:val="009936BD"/>
    <w:rsid w:val="009939CF"/>
    <w:rsid w:val="00994F55"/>
    <w:rsid w:val="00995162"/>
    <w:rsid w:val="00996386"/>
    <w:rsid w:val="009967F8"/>
    <w:rsid w:val="00997BFB"/>
    <w:rsid w:val="009A0072"/>
    <w:rsid w:val="009A0580"/>
    <w:rsid w:val="009A7437"/>
    <w:rsid w:val="009B52F5"/>
    <w:rsid w:val="009B5D48"/>
    <w:rsid w:val="009C29BB"/>
    <w:rsid w:val="009C2B69"/>
    <w:rsid w:val="009C3E50"/>
    <w:rsid w:val="009C3F5E"/>
    <w:rsid w:val="009C7148"/>
    <w:rsid w:val="009D4719"/>
    <w:rsid w:val="009D7760"/>
    <w:rsid w:val="009D77A2"/>
    <w:rsid w:val="009E0B7E"/>
    <w:rsid w:val="009E18D3"/>
    <w:rsid w:val="009E3421"/>
    <w:rsid w:val="009E5206"/>
    <w:rsid w:val="009E5C1E"/>
    <w:rsid w:val="009F2410"/>
    <w:rsid w:val="009F2B72"/>
    <w:rsid w:val="009F302A"/>
    <w:rsid w:val="009F5EBE"/>
    <w:rsid w:val="009F612A"/>
    <w:rsid w:val="009F7BA2"/>
    <w:rsid w:val="00A007DE"/>
    <w:rsid w:val="00A015C2"/>
    <w:rsid w:val="00A03E5B"/>
    <w:rsid w:val="00A0673F"/>
    <w:rsid w:val="00A06E54"/>
    <w:rsid w:val="00A071D2"/>
    <w:rsid w:val="00A15FCD"/>
    <w:rsid w:val="00A16BE5"/>
    <w:rsid w:val="00A1740E"/>
    <w:rsid w:val="00A24A18"/>
    <w:rsid w:val="00A253BD"/>
    <w:rsid w:val="00A259B1"/>
    <w:rsid w:val="00A26B0B"/>
    <w:rsid w:val="00A35F38"/>
    <w:rsid w:val="00A42120"/>
    <w:rsid w:val="00A424C2"/>
    <w:rsid w:val="00A43309"/>
    <w:rsid w:val="00A506B4"/>
    <w:rsid w:val="00A52745"/>
    <w:rsid w:val="00A57C94"/>
    <w:rsid w:val="00A605FC"/>
    <w:rsid w:val="00A61A5C"/>
    <w:rsid w:val="00A628D7"/>
    <w:rsid w:val="00A679D9"/>
    <w:rsid w:val="00A708D4"/>
    <w:rsid w:val="00A721C7"/>
    <w:rsid w:val="00A81AEB"/>
    <w:rsid w:val="00A86108"/>
    <w:rsid w:val="00A90C37"/>
    <w:rsid w:val="00A942D3"/>
    <w:rsid w:val="00A9432E"/>
    <w:rsid w:val="00AA5323"/>
    <w:rsid w:val="00AC0CF3"/>
    <w:rsid w:val="00AC10FF"/>
    <w:rsid w:val="00AC2A24"/>
    <w:rsid w:val="00AC2B1F"/>
    <w:rsid w:val="00AC6718"/>
    <w:rsid w:val="00AD70FA"/>
    <w:rsid w:val="00AD7F72"/>
    <w:rsid w:val="00AE3367"/>
    <w:rsid w:val="00AE409C"/>
    <w:rsid w:val="00AE4C39"/>
    <w:rsid w:val="00AE6AB5"/>
    <w:rsid w:val="00AE6ED5"/>
    <w:rsid w:val="00AE7169"/>
    <w:rsid w:val="00AF1B2C"/>
    <w:rsid w:val="00AF246B"/>
    <w:rsid w:val="00AF2767"/>
    <w:rsid w:val="00AF6EBD"/>
    <w:rsid w:val="00B0236C"/>
    <w:rsid w:val="00B03F2D"/>
    <w:rsid w:val="00B05077"/>
    <w:rsid w:val="00B0598A"/>
    <w:rsid w:val="00B115DF"/>
    <w:rsid w:val="00B1175B"/>
    <w:rsid w:val="00B16738"/>
    <w:rsid w:val="00B22684"/>
    <w:rsid w:val="00B22FDC"/>
    <w:rsid w:val="00B244F3"/>
    <w:rsid w:val="00B2672F"/>
    <w:rsid w:val="00B32615"/>
    <w:rsid w:val="00B347CE"/>
    <w:rsid w:val="00B35630"/>
    <w:rsid w:val="00B35CB7"/>
    <w:rsid w:val="00B3764E"/>
    <w:rsid w:val="00B3787E"/>
    <w:rsid w:val="00B40991"/>
    <w:rsid w:val="00B45829"/>
    <w:rsid w:val="00B50AD3"/>
    <w:rsid w:val="00B522B0"/>
    <w:rsid w:val="00B52394"/>
    <w:rsid w:val="00B5494F"/>
    <w:rsid w:val="00B631EB"/>
    <w:rsid w:val="00B65DC0"/>
    <w:rsid w:val="00B72BB9"/>
    <w:rsid w:val="00B72CE4"/>
    <w:rsid w:val="00B76C81"/>
    <w:rsid w:val="00B81EAC"/>
    <w:rsid w:val="00B87881"/>
    <w:rsid w:val="00B92D8F"/>
    <w:rsid w:val="00B9465D"/>
    <w:rsid w:val="00B9576A"/>
    <w:rsid w:val="00BA28EC"/>
    <w:rsid w:val="00BA461A"/>
    <w:rsid w:val="00BA4DDB"/>
    <w:rsid w:val="00BA59D0"/>
    <w:rsid w:val="00BA7D3E"/>
    <w:rsid w:val="00BA7EAA"/>
    <w:rsid w:val="00BB1E15"/>
    <w:rsid w:val="00BB2994"/>
    <w:rsid w:val="00BB4A62"/>
    <w:rsid w:val="00BB7651"/>
    <w:rsid w:val="00BC2578"/>
    <w:rsid w:val="00BC3CE6"/>
    <w:rsid w:val="00BD1B91"/>
    <w:rsid w:val="00BD2A2E"/>
    <w:rsid w:val="00BD67D8"/>
    <w:rsid w:val="00BE07FF"/>
    <w:rsid w:val="00BF069E"/>
    <w:rsid w:val="00BF209C"/>
    <w:rsid w:val="00BF2B6D"/>
    <w:rsid w:val="00BF35EE"/>
    <w:rsid w:val="00BF4D36"/>
    <w:rsid w:val="00BF5A5E"/>
    <w:rsid w:val="00BF6B6D"/>
    <w:rsid w:val="00BF76BC"/>
    <w:rsid w:val="00C01ECC"/>
    <w:rsid w:val="00C02F50"/>
    <w:rsid w:val="00C044DA"/>
    <w:rsid w:val="00C10994"/>
    <w:rsid w:val="00C12344"/>
    <w:rsid w:val="00C12F96"/>
    <w:rsid w:val="00C1414A"/>
    <w:rsid w:val="00C17C2B"/>
    <w:rsid w:val="00C21D26"/>
    <w:rsid w:val="00C238FC"/>
    <w:rsid w:val="00C27608"/>
    <w:rsid w:val="00C311DF"/>
    <w:rsid w:val="00C322A9"/>
    <w:rsid w:val="00C32B95"/>
    <w:rsid w:val="00C34710"/>
    <w:rsid w:val="00C3715F"/>
    <w:rsid w:val="00C40EDE"/>
    <w:rsid w:val="00C41E14"/>
    <w:rsid w:val="00C4247B"/>
    <w:rsid w:val="00C42BD2"/>
    <w:rsid w:val="00C463F0"/>
    <w:rsid w:val="00C51375"/>
    <w:rsid w:val="00C551B3"/>
    <w:rsid w:val="00C623DA"/>
    <w:rsid w:val="00C624AF"/>
    <w:rsid w:val="00C63636"/>
    <w:rsid w:val="00C666FA"/>
    <w:rsid w:val="00C674B3"/>
    <w:rsid w:val="00C701A4"/>
    <w:rsid w:val="00C74862"/>
    <w:rsid w:val="00C80B1B"/>
    <w:rsid w:val="00C82C88"/>
    <w:rsid w:val="00C85643"/>
    <w:rsid w:val="00C90075"/>
    <w:rsid w:val="00C911A3"/>
    <w:rsid w:val="00C914E5"/>
    <w:rsid w:val="00C94ECD"/>
    <w:rsid w:val="00CA0A7B"/>
    <w:rsid w:val="00CA1239"/>
    <w:rsid w:val="00CA1765"/>
    <w:rsid w:val="00CA3C16"/>
    <w:rsid w:val="00CA4D79"/>
    <w:rsid w:val="00CA61E3"/>
    <w:rsid w:val="00CA6AEE"/>
    <w:rsid w:val="00CB1BA3"/>
    <w:rsid w:val="00CB2797"/>
    <w:rsid w:val="00CB5CE7"/>
    <w:rsid w:val="00CC1A9E"/>
    <w:rsid w:val="00CC1F2E"/>
    <w:rsid w:val="00CC5AB8"/>
    <w:rsid w:val="00CC6D73"/>
    <w:rsid w:val="00CD5053"/>
    <w:rsid w:val="00CE1D1A"/>
    <w:rsid w:val="00CE4A27"/>
    <w:rsid w:val="00CE584A"/>
    <w:rsid w:val="00CE71D3"/>
    <w:rsid w:val="00CE7975"/>
    <w:rsid w:val="00CF1F60"/>
    <w:rsid w:val="00CF22FC"/>
    <w:rsid w:val="00CF2D63"/>
    <w:rsid w:val="00CF5C88"/>
    <w:rsid w:val="00CF6DCF"/>
    <w:rsid w:val="00D00A94"/>
    <w:rsid w:val="00D0151C"/>
    <w:rsid w:val="00D05379"/>
    <w:rsid w:val="00D05B5D"/>
    <w:rsid w:val="00D06FF2"/>
    <w:rsid w:val="00D11ED4"/>
    <w:rsid w:val="00D1730F"/>
    <w:rsid w:val="00D248BE"/>
    <w:rsid w:val="00D24ADD"/>
    <w:rsid w:val="00D2584F"/>
    <w:rsid w:val="00D26385"/>
    <w:rsid w:val="00D3016C"/>
    <w:rsid w:val="00D336DB"/>
    <w:rsid w:val="00D34044"/>
    <w:rsid w:val="00D40392"/>
    <w:rsid w:val="00D41BDD"/>
    <w:rsid w:val="00D42332"/>
    <w:rsid w:val="00D447D8"/>
    <w:rsid w:val="00D47350"/>
    <w:rsid w:val="00D47DE5"/>
    <w:rsid w:val="00D54609"/>
    <w:rsid w:val="00D5507E"/>
    <w:rsid w:val="00D5696A"/>
    <w:rsid w:val="00D60BA4"/>
    <w:rsid w:val="00D63CD2"/>
    <w:rsid w:val="00D64333"/>
    <w:rsid w:val="00D644A4"/>
    <w:rsid w:val="00D7249E"/>
    <w:rsid w:val="00D73DAD"/>
    <w:rsid w:val="00D753CE"/>
    <w:rsid w:val="00D7796B"/>
    <w:rsid w:val="00D77984"/>
    <w:rsid w:val="00D90755"/>
    <w:rsid w:val="00D91F00"/>
    <w:rsid w:val="00D92189"/>
    <w:rsid w:val="00D94FF6"/>
    <w:rsid w:val="00D9746B"/>
    <w:rsid w:val="00DA0226"/>
    <w:rsid w:val="00DA32A3"/>
    <w:rsid w:val="00DA65B8"/>
    <w:rsid w:val="00DB297F"/>
    <w:rsid w:val="00DC2436"/>
    <w:rsid w:val="00DC2CC6"/>
    <w:rsid w:val="00DC383D"/>
    <w:rsid w:val="00DD556F"/>
    <w:rsid w:val="00DD5B8E"/>
    <w:rsid w:val="00DD7DA6"/>
    <w:rsid w:val="00DE03F3"/>
    <w:rsid w:val="00DE451C"/>
    <w:rsid w:val="00DE54F1"/>
    <w:rsid w:val="00DF013B"/>
    <w:rsid w:val="00DF1186"/>
    <w:rsid w:val="00DF1E33"/>
    <w:rsid w:val="00DF2C70"/>
    <w:rsid w:val="00DF4467"/>
    <w:rsid w:val="00DF5EFA"/>
    <w:rsid w:val="00E04011"/>
    <w:rsid w:val="00E068BB"/>
    <w:rsid w:val="00E100D5"/>
    <w:rsid w:val="00E11261"/>
    <w:rsid w:val="00E13676"/>
    <w:rsid w:val="00E13959"/>
    <w:rsid w:val="00E1714C"/>
    <w:rsid w:val="00E17DAE"/>
    <w:rsid w:val="00E22313"/>
    <w:rsid w:val="00E22D19"/>
    <w:rsid w:val="00E23CE6"/>
    <w:rsid w:val="00E25501"/>
    <w:rsid w:val="00E356C4"/>
    <w:rsid w:val="00E37684"/>
    <w:rsid w:val="00E37B47"/>
    <w:rsid w:val="00E41EA6"/>
    <w:rsid w:val="00E422B6"/>
    <w:rsid w:val="00E425CF"/>
    <w:rsid w:val="00E43076"/>
    <w:rsid w:val="00E43622"/>
    <w:rsid w:val="00E45DAE"/>
    <w:rsid w:val="00E50CF4"/>
    <w:rsid w:val="00E51A6F"/>
    <w:rsid w:val="00E51FD3"/>
    <w:rsid w:val="00E53882"/>
    <w:rsid w:val="00E53C77"/>
    <w:rsid w:val="00E5723C"/>
    <w:rsid w:val="00E574EB"/>
    <w:rsid w:val="00E575CF"/>
    <w:rsid w:val="00E61E58"/>
    <w:rsid w:val="00E6433A"/>
    <w:rsid w:val="00E64882"/>
    <w:rsid w:val="00E6651B"/>
    <w:rsid w:val="00E6683B"/>
    <w:rsid w:val="00E703FE"/>
    <w:rsid w:val="00E70922"/>
    <w:rsid w:val="00E73391"/>
    <w:rsid w:val="00E74397"/>
    <w:rsid w:val="00E76362"/>
    <w:rsid w:val="00E800D6"/>
    <w:rsid w:val="00E82FDF"/>
    <w:rsid w:val="00E84008"/>
    <w:rsid w:val="00E907C4"/>
    <w:rsid w:val="00E94579"/>
    <w:rsid w:val="00E95856"/>
    <w:rsid w:val="00E9679C"/>
    <w:rsid w:val="00E96A25"/>
    <w:rsid w:val="00E96E62"/>
    <w:rsid w:val="00EA0751"/>
    <w:rsid w:val="00EA2D49"/>
    <w:rsid w:val="00EB1FCB"/>
    <w:rsid w:val="00EB2072"/>
    <w:rsid w:val="00EB62FC"/>
    <w:rsid w:val="00EB772B"/>
    <w:rsid w:val="00EC1B9C"/>
    <w:rsid w:val="00EC7FE6"/>
    <w:rsid w:val="00ED1C23"/>
    <w:rsid w:val="00ED1FD5"/>
    <w:rsid w:val="00ED70BF"/>
    <w:rsid w:val="00EE44B2"/>
    <w:rsid w:val="00EF2E0E"/>
    <w:rsid w:val="00EF3827"/>
    <w:rsid w:val="00F02E95"/>
    <w:rsid w:val="00F03178"/>
    <w:rsid w:val="00F0475C"/>
    <w:rsid w:val="00F06A04"/>
    <w:rsid w:val="00F11029"/>
    <w:rsid w:val="00F17EE7"/>
    <w:rsid w:val="00F20849"/>
    <w:rsid w:val="00F26AB4"/>
    <w:rsid w:val="00F323FD"/>
    <w:rsid w:val="00F35F2F"/>
    <w:rsid w:val="00F40A0C"/>
    <w:rsid w:val="00F41AB4"/>
    <w:rsid w:val="00F4580C"/>
    <w:rsid w:val="00F45A41"/>
    <w:rsid w:val="00F552EB"/>
    <w:rsid w:val="00F64CF5"/>
    <w:rsid w:val="00F66F64"/>
    <w:rsid w:val="00F71F3C"/>
    <w:rsid w:val="00F71F64"/>
    <w:rsid w:val="00F723B9"/>
    <w:rsid w:val="00F73885"/>
    <w:rsid w:val="00F74246"/>
    <w:rsid w:val="00F82411"/>
    <w:rsid w:val="00F84566"/>
    <w:rsid w:val="00F9110C"/>
    <w:rsid w:val="00F9477F"/>
    <w:rsid w:val="00F970F0"/>
    <w:rsid w:val="00F97837"/>
    <w:rsid w:val="00FA2352"/>
    <w:rsid w:val="00FA25C5"/>
    <w:rsid w:val="00FA73ED"/>
    <w:rsid w:val="00FB0480"/>
    <w:rsid w:val="00FB2020"/>
    <w:rsid w:val="00FB341D"/>
    <w:rsid w:val="00FB587D"/>
    <w:rsid w:val="00FB75BB"/>
    <w:rsid w:val="00FC064B"/>
    <w:rsid w:val="00FC12A2"/>
    <w:rsid w:val="00FC225A"/>
    <w:rsid w:val="00FE0E10"/>
    <w:rsid w:val="00FE2425"/>
    <w:rsid w:val="00FF0749"/>
    <w:rsid w:val="00FF07C8"/>
    <w:rsid w:val="00FF136F"/>
    <w:rsid w:val="00FF1F06"/>
    <w:rsid w:val="00FF2A07"/>
    <w:rsid w:val="00FF4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B76F"/>
  <w15:docId w15:val="{CE5429F4-2DE7-4B54-BE2D-1E7E38446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10E"/>
    <w:pPr>
      <w:spacing w:after="0" w:line="240"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132675"/>
    <w:pPr>
      <w:keepNext/>
      <w:keepLines/>
      <w:spacing w:before="40" w:line="276" w:lineRule="auto"/>
      <w:outlineLvl w:val="1"/>
    </w:pPr>
    <w:rPr>
      <w:rFonts w:ascii="Cambria" w:eastAsia="SimSun"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3C08"/>
    <w:pPr>
      <w:spacing w:after="0" w:line="240" w:lineRule="auto"/>
    </w:pPr>
  </w:style>
  <w:style w:type="table" w:styleId="TableGrid">
    <w:name w:val="Table Grid"/>
    <w:basedOn w:val="TableNormal"/>
    <w:uiPriority w:val="59"/>
    <w:rsid w:val="001B3C08"/>
    <w:pPr>
      <w:spacing w:after="0" w:line="240" w:lineRule="auto"/>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849"/>
    <w:pPr>
      <w:widowControl w:val="0"/>
    </w:pPr>
    <w:rPr>
      <w:rFonts w:asciiTheme="minorHAnsi" w:eastAsiaTheme="minorHAnsi" w:hAnsiTheme="minorHAnsi" w:cstheme="minorBidi"/>
      <w:lang w:val="en-US"/>
    </w:rPr>
  </w:style>
  <w:style w:type="paragraph" w:styleId="BalloonText">
    <w:name w:val="Balloon Text"/>
    <w:basedOn w:val="Normal"/>
    <w:link w:val="BalloonTextChar"/>
    <w:uiPriority w:val="99"/>
    <w:semiHidden/>
    <w:unhideWhenUsed/>
    <w:rsid w:val="00DA65B8"/>
    <w:rPr>
      <w:rFonts w:ascii="Tahoma" w:hAnsi="Tahoma" w:cs="Tahoma"/>
      <w:sz w:val="16"/>
      <w:szCs w:val="16"/>
    </w:rPr>
  </w:style>
  <w:style w:type="character" w:customStyle="1" w:styleId="BalloonTextChar">
    <w:name w:val="Balloon Text Char"/>
    <w:basedOn w:val="DefaultParagraphFont"/>
    <w:link w:val="BalloonText"/>
    <w:uiPriority w:val="99"/>
    <w:semiHidden/>
    <w:rsid w:val="00DA65B8"/>
    <w:rPr>
      <w:rFonts w:ascii="Tahoma" w:eastAsia="Calibri" w:hAnsi="Tahoma" w:cs="Tahoma"/>
      <w:sz w:val="16"/>
      <w:szCs w:val="16"/>
    </w:rPr>
  </w:style>
  <w:style w:type="paragraph" w:customStyle="1" w:styleId="Default">
    <w:name w:val="Default"/>
    <w:rsid w:val="007A42E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0919DD"/>
    <w:rPr>
      <w:rFonts w:ascii="Times New Roman" w:eastAsiaTheme="minorHAnsi" w:hAnsi="Times New Roman"/>
      <w:sz w:val="24"/>
      <w:szCs w:val="24"/>
      <w:lang w:eastAsia="en-GB"/>
    </w:rPr>
  </w:style>
  <w:style w:type="paragraph" w:styleId="FootnoteText">
    <w:name w:val="footnote text"/>
    <w:basedOn w:val="Normal"/>
    <w:link w:val="FootnoteTextChar"/>
    <w:uiPriority w:val="99"/>
    <w:semiHidden/>
    <w:unhideWhenUsed/>
    <w:rsid w:val="0087708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877089"/>
    <w:rPr>
      <w:sz w:val="20"/>
      <w:szCs w:val="20"/>
    </w:rPr>
  </w:style>
  <w:style w:type="character" w:styleId="FootnoteReference">
    <w:name w:val="footnote reference"/>
    <w:basedOn w:val="DefaultParagraphFont"/>
    <w:uiPriority w:val="99"/>
    <w:semiHidden/>
    <w:unhideWhenUsed/>
    <w:rsid w:val="00877089"/>
    <w:rPr>
      <w:vertAlign w:val="superscript"/>
    </w:rPr>
  </w:style>
  <w:style w:type="paragraph" w:styleId="CommentText">
    <w:name w:val="annotation text"/>
    <w:basedOn w:val="Normal"/>
    <w:link w:val="CommentTextChar"/>
    <w:uiPriority w:val="99"/>
    <w:unhideWhenUsed/>
    <w:rsid w:val="00861892"/>
    <w:rPr>
      <w:sz w:val="20"/>
      <w:szCs w:val="20"/>
    </w:rPr>
  </w:style>
  <w:style w:type="character" w:customStyle="1" w:styleId="CommentTextChar">
    <w:name w:val="Comment Text Char"/>
    <w:basedOn w:val="DefaultParagraphFont"/>
    <w:link w:val="CommentText"/>
    <w:uiPriority w:val="99"/>
    <w:rsid w:val="00861892"/>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B0598A"/>
    <w:rPr>
      <w:sz w:val="16"/>
      <w:szCs w:val="16"/>
    </w:rPr>
  </w:style>
  <w:style w:type="character" w:styleId="Hyperlink">
    <w:name w:val="Hyperlink"/>
    <w:basedOn w:val="DefaultParagraphFont"/>
    <w:uiPriority w:val="99"/>
    <w:semiHidden/>
    <w:unhideWhenUsed/>
    <w:rsid w:val="009805B8"/>
    <w:rPr>
      <w:rFonts w:cs="Times New Roman"/>
      <w:color w:val="0000FF"/>
      <w:u w:val="single"/>
    </w:rPr>
  </w:style>
  <w:style w:type="character" w:customStyle="1" w:styleId="Heading2Char">
    <w:name w:val="Heading 2 Char"/>
    <w:basedOn w:val="DefaultParagraphFont"/>
    <w:link w:val="Heading2"/>
    <w:uiPriority w:val="9"/>
    <w:rsid w:val="00132675"/>
    <w:rPr>
      <w:rFonts w:ascii="Cambria" w:eastAsia="SimSun" w:hAnsi="Cambria" w:cs="Times New Roman"/>
      <w:color w:val="365F9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91066">
      <w:bodyDiv w:val="1"/>
      <w:marLeft w:val="0"/>
      <w:marRight w:val="0"/>
      <w:marTop w:val="0"/>
      <w:marBottom w:val="0"/>
      <w:divBdr>
        <w:top w:val="none" w:sz="0" w:space="0" w:color="auto"/>
        <w:left w:val="none" w:sz="0" w:space="0" w:color="auto"/>
        <w:bottom w:val="none" w:sz="0" w:space="0" w:color="auto"/>
        <w:right w:val="none" w:sz="0" w:space="0" w:color="auto"/>
      </w:divBdr>
    </w:div>
    <w:div w:id="660738395">
      <w:bodyDiv w:val="1"/>
      <w:marLeft w:val="0"/>
      <w:marRight w:val="0"/>
      <w:marTop w:val="0"/>
      <w:marBottom w:val="0"/>
      <w:divBdr>
        <w:top w:val="none" w:sz="0" w:space="0" w:color="auto"/>
        <w:left w:val="none" w:sz="0" w:space="0" w:color="auto"/>
        <w:bottom w:val="none" w:sz="0" w:space="0" w:color="auto"/>
        <w:right w:val="none" w:sz="0" w:space="0" w:color="auto"/>
      </w:divBdr>
    </w:div>
    <w:div w:id="950018708">
      <w:bodyDiv w:val="1"/>
      <w:marLeft w:val="0"/>
      <w:marRight w:val="0"/>
      <w:marTop w:val="0"/>
      <w:marBottom w:val="0"/>
      <w:divBdr>
        <w:top w:val="none" w:sz="0" w:space="0" w:color="auto"/>
        <w:left w:val="none" w:sz="0" w:space="0" w:color="auto"/>
        <w:bottom w:val="none" w:sz="0" w:space="0" w:color="auto"/>
        <w:right w:val="none" w:sz="0" w:space="0" w:color="auto"/>
      </w:divBdr>
    </w:div>
    <w:div w:id="970019462">
      <w:bodyDiv w:val="1"/>
      <w:marLeft w:val="0"/>
      <w:marRight w:val="0"/>
      <w:marTop w:val="0"/>
      <w:marBottom w:val="0"/>
      <w:divBdr>
        <w:top w:val="none" w:sz="0" w:space="0" w:color="auto"/>
        <w:left w:val="none" w:sz="0" w:space="0" w:color="auto"/>
        <w:bottom w:val="none" w:sz="0" w:space="0" w:color="auto"/>
        <w:right w:val="none" w:sz="0" w:space="0" w:color="auto"/>
      </w:divBdr>
    </w:div>
    <w:div w:id="1041128656">
      <w:bodyDiv w:val="1"/>
      <w:marLeft w:val="0"/>
      <w:marRight w:val="0"/>
      <w:marTop w:val="0"/>
      <w:marBottom w:val="0"/>
      <w:divBdr>
        <w:top w:val="none" w:sz="0" w:space="0" w:color="auto"/>
        <w:left w:val="none" w:sz="0" w:space="0" w:color="auto"/>
        <w:bottom w:val="none" w:sz="0" w:space="0" w:color="auto"/>
        <w:right w:val="none" w:sz="0" w:space="0" w:color="auto"/>
      </w:divBdr>
    </w:div>
    <w:div w:id="1268662300">
      <w:bodyDiv w:val="1"/>
      <w:marLeft w:val="0"/>
      <w:marRight w:val="0"/>
      <w:marTop w:val="0"/>
      <w:marBottom w:val="0"/>
      <w:divBdr>
        <w:top w:val="none" w:sz="0" w:space="0" w:color="auto"/>
        <w:left w:val="none" w:sz="0" w:space="0" w:color="auto"/>
        <w:bottom w:val="none" w:sz="0" w:space="0" w:color="auto"/>
        <w:right w:val="none" w:sz="0" w:space="0" w:color="auto"/>
      </w:divBdr>
    </w:div>
    <w:div w:id="1303928966">
      <w:bodyDiv w:val="1"/>
      <w:marLeft w:val="0"/>
      <w:marRight w:val="0"/>
      <w:marTop w:val="0"/>
      <w:marBottom w:val="0"/>
      <w:divBdr>
        <w:top w:val="none" w:sz="0" w:space="0" w:color="auto"/>
        <w:left w:val="none" w:sz="0" w:space="0" w:color="auto"/>
        <w:bottom w:val="none" w:sz="0" w:space="0" w:color="auto"/>
        <w:right w:val="none" w:sz="0" w:space="0" w:color="auto"/>
      </w:divBdr>
    </w:div>
    <w:div w:id="149522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6BA08-1A53-47AD-B568-1FE936F3E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3548</TotalTime>
  <Pages>7</Pages>
  <Words>2325</Words>
  <Characters>13256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dc:creator>
  <cp:lastModifiedBy>Robert</cp:lastModifiedBy>
  <cp:revision>378</cp:revision>
  <cp:lastPrinted>2017-09-26T10:51:00Z</cp:lastPrinted>
  <dcterms:created xsi:type="dcterms:W3CDTF">2016-06-27T16:41:00Z</dcterms:created>
  <dcterms:modified xsi:type="dcterms:W3CDTF">2020-12-02T19:18:00Z</dcterms:modified>
</cp:coreProperties>
</file>